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5"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581"/>
        <w:gridCol w:w="1043"/>
        <w:gridCol w:w="2265"/>
        <w:gridCol w:w="144"/>
        <w:gridCol w:w="2260"/>
        <w:gridCol w:w="662"/>
        <w:gridCol w:w="2409"/>
      </w:tblGrid>
      <w:tr w:rsidR="00690BCC" w:rsidRPr="00E1388F" w14:paraId="02A69E81" w14:textId="77777777" w:rsidTr="00C47657">
        <w:trPr>
          <w:trHeight w:val="262"/>
          <w:tblCellSpacing w:w="20" w:type="dxa"/>
        </w:trPr>
        <w:tc>
          <w:tcPr>
            <w:tcW w:w="10145" w:type="dxa"/>
            <w:gridSpan w:val="7"/>
            <w:shd w:val="clear" w:color="000000" w:fill="8B1D31"/>
            <w:noWrap/>
            <w:vAlign w:val="bottom"/>
            <w:hideMark/>
          </w:tcPr>
          <w:p w14:paraId="406BCD0F" w14:textId="77777777" w:rsidR="00E1388F" w:rsidRPr="00E1388F" w:rsidRDefault="00E1388F" w:rsidP="00E1388F">
            <w:pPr>
              <w:spacing w:after="0" w:line="240" w:lineRule="auto"/>
              <w:rPr>
                <w:rFonts w:eastAsia="Times New Roman"/>
                <w:b/>
                <w:bCs/>
                <w:color w:val="FFFFFF"/>
                <w:lang w:eastAsia="es-MX"/>
              </w:rPr>
            </w:pPr>
            <w:bookmarkStart w:id="0" w:name="_GoBack"/>
            <w:bookmarkEnd w:id="0"/>
            <w:r w:rsidRPr="00E1388F">
              <w:rPr>
                <w:rFonts w:eastAsia="Times New Roman"/>
                <w:b/>
                <w:bCs/>
                <w:color w:val="FFFFFF"/>
                <w:lang w:eastAsia="es-MX"/>
              </w:rPr>
              <w:t>1. Descripción de la Evaluación</w:t>
            </w:r>
          </w:p>
        </w:tc>
      </w:tr>
      <w:tr w:rsidR="00690BCC" w:rsidRPr="00E1388F" w14:paraId="32A97728" w14:textId="77777777" w:rsidTr="00C47657">
        <w:trPr>
          <w:trHeight w:val="341"/>
          <w:tblCellSpacing w:w="20" w:type="dxa"/>
        </w:trPr>
        <w:tc>
          <w:tcPr>
            <w:tcW w:w="10145" w:type="dxa"/>
            <w:gridSpan w:val="7"/>
            <w:shd w:val="clear" w:color="000000" w:fill="FFFFFF"/>
            <w:noWrap/>
            <w:hideMark/>
          </w:tcPr>
          <w:p w14:paraId="4D1B7D79" w14:textId="77777777"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1.1 </w:t>
            </w:r>
            <w:r w:rsidRPr="0076751A">
              <w:rPr>
                <w:rFonts w:eastAsia="Times New Roman"/>
                <w:b/>
                <w:color w:val="000000"/>
                <w:lang w:eastAsia="es-MX"/>
              </w:rPr>
              <w:t xml:space="preserve">Nombre de la Evaluación: </w:t>
            </w:r>
            <w:r w:rsidR="007C695A" w:rsidRPr="0076751A">
              <w:rPr>
                <w:rFonts w:eastAsia="Times New Roman"/>
                <w:color w:val="000000"/>
                <w:lang w:eastAsia="es-MX"/>
              </w:rPr>
              <w:t>E</w:t>
            </w:r>
            <w:r w:rsidRPr="0076751A">
              <w:rPr>
                <w:rFonts w:eastAsia="Times New Roman"/>
                <w:color w:val="000000"/>
                <w:lang w:eastAsia="es-MX"/>
              </w:rPr>
              <w:t>valuación de Desempeño</w:t>
            </w:r>
          </w:p>
        </w:tc>
      </w:tr>
      <w:tr w:rsidR="00690BCC" w:rsidRPr="00E1388F" w14:paraId="69491C8E" w14:textId="77777777" w:rsidTr="00C47657">
        <w:trPr>
          <w:trHeight w:val="341"/>
          <w:tblCellSpacing w:w="20" w:type="dxa"/>
        </w:trPr>
        <w:tc>
          <w:tcPr>
            <w:tcW w:w="10145" w:type="dxa"/>
            <w:gridSpan w:val="7"/>
            <w:shd w:val="clear" w:color="000000" w:fill="FFFFFF"/>
            <w:noWrap/>
            <w:hideMark/>
          </w:tcPr>
          <w:p w14:paraId="2A4D0F1A" w14:textId="77777777"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1.2 </w:t>
            </w:r>
            <w:r w:rsidR="00E1388F" w:rsidRPr="0076751A">
              <w:rPr>
                <w:rFonts w:eastAsia="Times New Roman"/>
                <w:b/>
                <w:color w:val="000000"/>
                <w:lang w:eastAsia="es-MX"/>
              </w:rPr>
              <w:t>Fecha de Inicio de la Evaluación (dd/mm/aaaa):</w:t>
            </w:r>
            <w:r w:rsidR="002D1AFC" w:rsidRPr="0076751A">
              <w:rPr>
                <w:rFonts w:eastAsia="Times New Roman"/>
                <w:b/>
                <w:color w:val="000000"/>
                <w:lang w:eastAsia="es-MX"/>
              </w:rPr>
              <w:t xml:space="preserve"> </w:t>
            </w:r>
            <w:r w:rsidR="008B3B8B">
              <w:rPr>
                <w:rFonts w:eastAsia="Times New Roman"/>
                <w:color w:val="000000"/>
                <w:lang w:eastAsia="es-MX"/>
              </w:rPr>
              <w:t xml:space="preserve"> 1</w:t>
            </w:r>
            <w:r w:rsidR="003D5DDB" w:rsidRPr="0076751A">
              <w:rPr>
                <w:rFonts w:eastAsia="Times New Roman"/>
                <w:color w:val="000000"/>
                <w:lang w:eastAsia="es-MX"/>
              </w:rPr>
              <w:t>1/06/</w:t>
            </w:r>
            <w:r w:rsidR="008B3B8B">
              <w:rPr>
                <w:rFonts w:eastAsia="Times New Roman"/>
                <w:color w:val="000000"/>
                <w:lang w:eastAsia="es-MX"/>
              </w:rPr>
              <w:t>2021</w:t>
            </w:r>
          </w:p>
        </w:tc>
      </w:tr>
      <w:tr w:rsidR="00690BCC" w:rsidRPr="00E1388F" w14:paraId="101FF8E7" w14:textId="77777777" w:rsidTr="00C47657">
        <w:trPr>
          <w:trHeight w:val="341"/>
          <w:tblCellSpacing w:w="20" w:type="dxa"/>
        </w:trPr>
        <w:tc>
          <w:tcPr>
            <w:tcW w:w="10145" w:type="dxa"/>
            <w:gridSpan w:val="7"/>
            <w:shd w:val="clear" w:color="000000" w:fill="FFFFFF"/>
            <w:noWrap/>
            <w:hideMark/>
          </w:tcPr>
          <w:p w14:paraId="34D951B2" w14:textId="77777777"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1.3 </w:t>
            </w:r>
            <w:r w:rsidR="00E1388F" w:rsidRPr="0076751A">
              <w:rPr>
                <w:rFonts w:eastAsia="Times New Roman"/>
                <w:b/>
                <w:color w:val="000000"/>
                <w:lang w:eastAsia="es-MX"/>
              </w:rPr>
              <w:t>Fecha de Término de la Evaluación (dd/mm/aaaa):</w:t>
            </w:r>
            <w:r w:rsidR="00332B81" w:rsidRPr="0076751A">
              <w:rPr>
                <w:rFonts w:eastAsia="Times New Roman"/>
                <w:b/>
                <w:color w:val="000000"/>
                <w:lang w:eastAsia="es-MX"/>
              </w:rPr>
              <w:t xml:space="preserve">  </w:t>
            </w:r>
            <w:r w:rsidR="008B3B8B">
              <w:rPr>
                <w:rFonts w:eastAsia="Times New Roman"/>
                <w:color w:val="000000"/>
                <w:lang w:eastAsia="es-MX"/>
              </w:rPr>
              <w:t>16/07</w:t>
            </w:r>
            <w:r w:rsidR="003D5DDB" w:rsidRPr="0076751A">
              <w:rPr>
                <w:rFonts w:eastAsia="Times New Roman"/>
                <w:color w:val="000000"/>
                <w:lang w:eastAsia="es-MX"/>
              </w:rPr>
              <w:t>/</w:t>
            </w:r>
            <w:r w:rsidR="008B3B8B">
              <w:rPr>
                <w:rFonts w:eastAsia="Times New Roman"/>
                <w:color w:val="000000"/>
                <w:lang w:eastAsia="es-MX"/>
              </w:rPr>
              <w:t>2021</w:t>
            </w:r>
          </w:p>
        </w:tc>
      </w:tr>
      <w:tr w:rsidR="00690BCC" w:rsidRPr="00E1388F" w14:paraId="4BBDC249" w14:textId="77777777" w:rsidTr="00C47657">
        <w:trPr>
          <w:trHeight w:val="538"/>
          <w:tblCellSpacing w:w="20" w:type="dxa"/>
        </w:trPr>
        <w:tc>
          <w:tcPr>
            <w:tcW w:w="10145" w:type="dxa"/>
            <w:gridSpan w:val="7"/>
            <w:shd w:val="clear" w:color="auto" w:fill="D9D9D9" w:themeFill="background1" w:themeFillShade="D9"/>
            <w:hideMark/>
          </w:tcPr>
          <w:p w14:paraId="359C643A" w14:textId="0E6F3548" w:rsidR="00E1388F" w:rsidRPr="007C695A" w:rsidRDefault="00E1388F" w:rsidP="00F52C3E">
            <w:pPr>
              <w:spacing w:after="0" w:line="240" w:lineRule="auto"/>
              <w:jc w:val="both"/>
              <w:rPr>
                <w:rFonts w:eastAsia="Times New Roman"/>
                <w:b/>
                <w:color w:val="000000"/>
                <w:lang w:eastAsia="es-MX"/>
              </w:rPr>
            </w:pPr>
            <w:r w:rsidRPr="007C695A">
              <w:rPr>
                <w:rFonts w:eastAsia="Times New Roman"/>
                <w:b/>
                <w:color w:val="000000"/>
                <w:lang w:eastAsia="es-MX"/>
              </w:rPr>
              <w:t>1.4 Nombre de la</w:t>
            </w:r>
            <w:r w:rsidR="0049271E" w:rsidRPr="007C695A">
              <w:rPr>
                <w:rFonts w:eastAsia="Times New Roman"/>
                <w:b/>
                <w:color w:val="000000"/>
                <w:lang w:eastAsia="es-MX"/>
              </w:rPr>
              <w:t xml:space="preserve"> Persona Responsable de darle seguimiento a la eva</w:t>
            </w:r>
            <w:r w:rsidRPr="007C695A">
              <w:rPr>
                <w:rFonts w:eastAsia="Times New Roman"/>
                <w:b/>
                <w:color w:val="000000"/>
                <w:lang w:eastAsia="es-MX"/>
              </w:rPr>
              <w:t>lu</w:t>
            </w:r>
            <w:r w:rsidR="0049271E" w:rsidRPr="007C695A">
              <w:rPr>
                <w:rFonts w:eastAsia="Times New Roman"/>
                <w:b/>
                <w:color w:val="000000"/>
                <w:lang w:eastAsia="es-MX"/>
              </w:rPr>
              <w:t>ación y nombre de la unidad a</w:t>
            </w:r>
            <w:r w:rsidRPr="007C695A">
              <w:rPr>
                <w:rFonts w:eastAsia="Times New Roman"/>
                <w:b/>
                <w:color w:val="000000"/>
                <w:lang w:eastAsia="es-MX"/>
              </w:rPr>
              <w:t>dministrativa a la que Pertenece:</w:t>
            </w:r>
          </w:p>
        </w:tc>
      </w:tr>
      <w:tr w:rsidR="00EC63B6" w:rsidRPr="00E1388F" w14:paraId="1FEAA631" w14:textId="77777777" w:rsidTr="00C47657">
        <w:trPr>
          <w:trHeight w:val="354"/>
          <w:tblCellSpacing w:w="20" w:type="dxa"/>
        </w:trPr>
        <w:tc>
          <w:tcPr>
            <w:tcW w:w="1491" w:type="dxa"/>
            <w:shd w:val="clear" w:color="auto" w:fill="auto"/>
            <w:noWrap/>
            <w:hideMark/>
          </w:tcPr>
          <w:p w14:paraId="49D353B8" w14:textId="77777777" w:rsidR="00E1388F" w:rsidRPr="007C695A" w:rsidRDefault="00E1388F" w:rsidP="00E1388F">
            <w:pPr>
              <w:spacing w:after="0" w:line="240" w:lineRule="auto"/>
              <w:rPr>
                <w:rFonts w:eastAsia="Times New Roman"/>
                <w:b/>
                <w:color w:val="000000"/>
                <w:lang w:eastAsia="es-MX"/>
              </w:rPr>
            </w:pPr>
            <w:r w:rsidRPr="007C695A">
              <w:rPr>
                <w:rFonts w:eastAsia="Times New Roman"/>
                <w:b/>
                <w:color w:val="000000"/>
                <w:lang w:eastAsia="es-MX"/>
              </w:rPr>
              <w:t>Nombre:</w:t>
            </w:r>
          </w:p>
        </w:tc>
        <w:tc>
          <w:tcPr>
            <w:tcW w:w="3220" w:type="dxa"/>
            <w:gridSpan w:val="2"/>
            <w:shd w:val="clear" w:color="000000" w:fill="FFFFFF"/>
            <w:noWrap/>
            <w:hideMark/>
          </w:tcPr>
          <w:p w14:paraId="4B3F9495" w14:textId="77777777" w:rsidR="005E525A" w:rsidRDefault="008B3B8B" w:rsidP="007C695A">
            <w:pPr>
              <w:spacing w:after="0"/>
            </w:pPr>
            <w:r>
              <w:rPr>
                <w:rFonts w:eastAsia="Times New Roman"/>
                <w:color w:val="000000"/>
                <w:lang w:eastAsia="es-MX"/>
              </w:rPr>
              <w:t>L.C.P. María Cynthia Medina López</w:t>
            </w:r>
            <w:r w:rsidR="005E525A" w:rsidRPr="00DB36C7">
              <w:t xml:space="preserve"> </w:t>
            </w:r>
          </w:p>
          <w:p w14:paraId="6133F0B1" w14:textId="77777777" w:rsidR="005E525A" w:rsidRDefault="005E525A" w:rsidP="007C695A">
            <w:pPr>
              <w:spacing w:after="0"/>
            </w:pPr>
          </w:p>
          <w:p w14:paraId="20A5AAF7" w14:textId="77777777" w:rsidR="007C695A" w:rsidRPr="007C695A" w:rsidRDefault="007C695A" w:rsidP="007C695A">
            <w:pPr>
              <w:spacing w:after="0"/>
              <w:rPr>
                <w:sz w:val="24"/>
              </w:rPr>
            </w:pPr>
          </w:p>
        </w:tc>
        <w:tc>
          <w:tcPr>
            <w:tcW w:w="2995" w:type="dxa"/>
            <w:gridSpan w:val="3"/>
            <w:shd w:val="clear" w:color="000000" w:fill="FFFFFF"/>
            <w:noWrap/>
            <w:hideMark/>
          </w:tcPr>
          <w:p w14:paraId="0E9C9874" w14:textId="77777777" w:rsidR="00E1388F" w:rsidRPr="007C695A" w:rsidRDefault="00E1388F" w:rsidP="00E1388F">
            <w:pPr>
              <w:spacing w:after="0" w:line="240" w:lineRule="auto"/>
              <w:rPr>
                <w:rFonts w:eastAsia="Times New Roman"/>
                <w:b/>
                <w:color w:val="000000"/>
                <w:lang w:eastAsia="es-MX"/>
              </w:rPr>
            </w:pPr>
            <w:r w:rsidRPr="007C695A">
              <w:rPr>
                <w:rFonts w:eastAsia="Times New Roman"/>
                <w:b/>
                <w:color w:val="000000"/>
                <w:lang w:eastAsia="es-MX"/>
              </w:rPr>
              <w:t>Unidad Administrativa:</w:t>
            </w:r>
          </w:p>
          <w:p w14:paraId="28916200" w14:textId="77777777" w:rsidR="007C695A" w:rsidRPr="007C695A" w:rsidRDefault="007C695A" w:rsidP="007C695A">
            <w:pPr>
              <w:rPr>
                <w:rFonts w:eastAsia="Times New Roman"/>
                <w:color w:val="000000"/>
                <w:lang w:eastAsia="es-MX"/>
              </w:rPr>
            </w:pPr>
          </w:p>
        </w:tc>
        <w:tc>
          <w:tcPr>
            <w:tcW w:w="2319" w:type="dxa"/>
            <w:shd w:val="clear" w:color="000000" w:fill="FFFFFF"/>
            <w:noWrap/>
            <w:hideMark/>
          </w:tcPr>
          <w:p w14:paraId="6C6954E4" w14:textId="33CC7BB2" w:rsidR="00E1388F" w:rsidRPr="007C695A" w:rsidRDefault="00402EFD" w:rsidP="00402EFD">
            <w:r>
              <w:t>Subd</w:t>
            </w:r>
            <w:r w:rsidR="008B3B8B">
              <w:t>irección de Recursos Financieros de los Servicios de Salud de Sinaloa</w:t>
            </w:r>
          </w:p>
        </w:tc>
      </w:tr>
      <w:tr w:rsidR="00690BCC" w:rsidRPr="00E1388F" w14:paraId="5B3258B8" w14:textId="77777777" w:rsidTr="00C47657">
        <w:trPr>
          <w:trHeight w:val="433"/>
          <w:tblCellSpacing w:w="20" w:type="dxa"/>
        </w:trPr>
        <w:tc>
          <w:tcPr>
            <w:tcW w:w="10145" w:type="dxa"/>
            <w:gridSpan w:val="7"/>
            <w:shd w:val="clear" w:color="000000" w:fill="FFFFFF"/>
            <w:noWrap/>
            <w:hideMark/>
          </w:tcPr>
          <w:p w14:paraId="07F666EB" w14:textId="77777777" w:rsidR="00332B81" w:rsidRPr="007C695A" w:rsidRDefault="00E1388F" w:rsidP="00332B81">
            <w:pPr>
              <w:jc w:val="both"/>
              <w:rPr>
                <w:rFonts w:cstheme="minorHAnsi"/>
                <w:b/>
              </w:rPr>
            </w:pPr>
            <w:r w:rsidRPr="007C695A">
              <w:rPr>
                <w:rFonts w:eastAsia="Times New Roman"/>
                <w:b/>
                <w:color w:val="000000"/>
                <w:lang w:eastAsia="es-MX"/>
              </w:rPr>
              <w:t>1.5 Objetivo General de la Evaluación:</w:t>
            </w:r>
            <w:r w:rsidR="00332B81" w:rsidRPr="007C695A">
              <w:rPr>
                <w:rFonts w:eastAsia="Times New Roman"/>
                <w:b/>
                <w:color w:val="000000"/>
                <w:lang w:eastAsia="es-MX"/>
              </w:rPr>
              <w:t xml:space="preserve"> </w:t>
            </w:r>
            <w:r w:rsidR="00332B81" w:rsidRPr="007C695A">
              <w:rPr>
                <w:rFonts w:cstheme="minorHAnsi"/>
                <w:b/>
              </w:rPr>
              <w:t xml:space="preserve">Describir de manera breve y puntual el objetivo general de la evaluación. </w:t>
            </w:r>
          </w:p>
          <w:p w14:paraId="12D6F2EE" w14:textId="77777777" w:rsidR="00E1388F" w:rsidRPr="00E1388F" w:rsidRDefault="007C695A" w:rsidP="00F52C3E">
            <w:pPr>
              <w:spacing w:after="0" w:line="240" w:lineRule="auto"/>
              <w:jc w:val="both"/>
              <w:rPr>
                <w:rFonts w:eastAsia="Times New Roman"/>
                <w:color w:val="000000"/>
                <w:lang w:eastAsia="es-MX"/>
              </w:rPr>
            </w:pPr>
            <w:r>
              <w:t>Evaluar el desempeño de las aportaciones en la entidad federativa para el</w:t>
            </w:r>
            <w:r w:rsidR="00D50015">
              <w:t xml:space="preserve"> ejercicio fiscal concluido 2020</w:t>
            </w:r>
            <w:r>
              <w:t xml:space="preserve"> con el objetivo de mejorar la gestión, los resultados y la rendición de cuentas</w:t>
            </w:r>
          </w:p>
        </w:tc>
      </w:tr>
      <w:tr w:rsidR="00690BCC" w:rsidRPr="00E1388F" w14:paraId="6EFA72DE" w14:textId="77777777" w:rsidTr="00F52C3E">
        <w:trPr>
          <w:trHeight w:val="3030"/>
          <w:tblCellSpacing w:w="20" w:type="dxa"/>
        </w:trPr>
        <w:tc>
          <w:tcPr>
            <w:tcW w:w="10145" w:type="dxa"/>
            <w:gridSpan w:val="7"/>
            <w:shd w:val="clear" w:color="000000" w:fill="FFFFFF"/>
            <w:noWrap/>
            <w:hideMark/>
          </w:tcPr>
          <w:p w14:paraId="358276E4" w14:textId="77777777" w:rsidR="00332B81" w:rsidRPr="007C695A" w:rsidRDefault="00E1388F" w:rsidP="00332B81">
            <w:pPr>
              <w:jc w:val="both"/>
              <w:rPr>
                <w:rFonts w:cstheme="minorHAnsi"/>
                <w:b/>
              </w:rPr>
            </w:pPr>
            <w:r w:rsidRPr="007C695A">
              <w:rPr>
                <w:rFonts w:eastAsia="Times New Roman"/>
                <w:b/>
                <w:color w:val="000000"/>
                <w:lang w:eastAsia="es-MX"/>
              </w:rPr>
              <w:t xml:space="preserve">1.6 Objetivos </w:t>
            </w:r>
            <w:r w:rsidR="00332B81" w:rsidRPr="007C695A">
              <w:rPr>
                <w:rFonts w:eastAsia="Times New Roman"/>
                <w:b/>
                <w:color w:val="000000"/>
                <w:lang w:eastAsia="es-MX"/>
              </w:rPr>
              <w:t>Específicas</w:t>
            </w:r>
            <w:r w:rsidRPr="007C695A">
              <w:rPr>
                <w:rFonts w:eastAsia="Times New Roman"/>
                <w:b/>
                <w:color w:val="000000"/>
                <w:lang w:eastAsia="es-MX"/>
              </w:rPr>
              <w:t xml:space="preserve"> de la Evaluación:</w:t>
            </w:r>
            <w:r w:rsidR="00332B81" w:rsidRPr="007C695A">
              <w:rPr>
                <w:rFonts w:eastAsia="Times New Roman"/>
                <w:b/>
                <w:color w:val="000000"/>
                <w:lang w:eastAsia="es-MX"/>
              </w:rPr>
              <w:t xml:space="preserve"> </w:t>
            </w:r>
            <w:r w:rsidR="00332B81" w:rsidRPr="007C695A">
              <w:rPr>
                <w:rFonts w:cstheme="minorHAnsi"/>
                <w:b/>
              </w:rPr>
              <w:t xml:space="preserve">Describir cada uno de los objetivos específicos de la evaluación. </w:t>
            </w:r>
          </w:p>
          <w:p w14:paraId="6917DFD1" w14:textId="77777777" w:rsidR="00E1388F" w:rsidRDefault="008B3B8B" w:rsidP="0076751A">
            <w:pPr>
              <w:pStyle w:val="Prrafodelista"/>
              <w:numPr>
                <w:ilvl w:val="0"/>
                <w:numId w:val="29"/>
              </w:numPr>
              <w:spacing w:before="100" w:after="200" w:line="276" w:lineRule="auto"/>
              <w:jc w:val="both"/>
            </w:pPr>
            <w:r>
              <w:t>Reportar los Resultados y objetivos del fondo evaluado durante el ejercicio fiscal 2020, mediante el análisis de los indicadores de resultados, de los indicadores de servicio de gestión, así como de los hallazgos relevantes derivados de las evaluaciones externas y otros documentos del Fondo evaluado,</w:t>
            </w:r>
          </w:p>
          <w:p w14:paraId="53F250B5" w14:textId="77777777" w:rsidR="008B3B8B" w:rsidRDefault="008B3B8B" w:rsidP="0076751A">
            <w:pPr>
              <w:pStyle w:val="Prrafodelista"/>
              <w:numPr>
                <w:ilvl w:val="0"/>
                <w:numId w:val="29"/>
              </w:numPr>
              <w:spacing w:before="100" w:after="200" w:line="276" w:lineRule="auto"/>
              <w:jc w:val="both"/>
            </w:pPr>
            <w:r>
              <w:t>Analizar el avance de las metas de los indicadores de la Matriz de indicadores para Resultados (MIR) en 2020, respecto de años anteriores y el avance en relación a las metas establecidas,</w:t>
            </w:r>
          </w:p>
          <w:p w14:paraId="120F0C4B" w14:textId="77777777" w:rsidR="008B3B8B" w:rsidRDefault="008B3B8B" w:rsidP="0076751A">
            <w:pPr>
              <w:pStyle w:val="Prrafodelista"/>
              <w:numPr>
                <w:ilvl w:val="0"/>
                <w:numId w:val="29"/>
              </w:numPr>
              <w:spacing w:before="100" w:after="200" w:line="276" w:lineRule="auto"/>
              <w:jc w:val="both"/>
            </w:pPr>
            <w:r>
              <w:t>Identificar los principales Aspectos Susceptibles de Mejora (ASM) del Fondo Evaluado, derivados de las evaluaciones externas,</w:t>
            </w:r>
          </w:p>
          <w:p w14:paraId="6657593C" w14:textId="77777777" w:rsidR="008B3B8B" w:rsidRDefault="008B3B8B" w:rsidP="0076751A">
            <w:pPr>
              <w:pStyle w:val="Prrafodelista"/>
              <w:numPr>
                <w:ilvl w:val="0"/>
                <w:numId w:val="29"/>
              </w:numPr>
              <w:spacing w:before="100" w:after="200" w:line="276" w:lineRule="auto"/>
              <w:jc w:val="both"/>
            </w:pPr>
            <w:r>
              <w:t xml:space="preserve">Analizar la evaluación de la cobertura y el presupuesto del fondo evaluado, </w:t>
            </w:r>
          </w:p>
          <w:p w14:paraId="40073148" w14:textId="5B5BC8AC" w:rsidR="008B3B8B" w:rsidRPr="0076751A" w:rsidRDefault="008B3B8B" w:rsidP="00F52C3E">
            <w:pPr>
              <w:pStyle w:val="Prrafodelista"/>
              <w:numPr>
                <w:ilvl w:val="0"/>
                <w:numId w:val="29"/>
              </w:numPr>
              <w:spacing w:before="100" w:after="120" w:line="276" w:lineRule="auto"/>
              <w:ind w:left="357" w:hanging="357"/>
              <w:jc w:val="both"/>
            </w:pPr>
            <w:r>
              <w:t>Identificar las fortalezas, los retos y las recomendaciones del Fondo Evaluado.</w:t>
            </w:r>
          </w:p>
        </w:tc>
      </w:tr>
      <w:tr w:rsidR="00690BCC" w:rsidRPr="00E1388F" w14:paraId="11FC5D86" w14:textId="77777777" w:rsidTr="00C47657">
        <w:trPr>
          <w:trHeight w:val="420"/>
          <w:tblCellSpacing w:w="20" w:type="dxa"/>
        </w:trPr>
        <w:tc>
          <w:tcPr>
            <w:tcW w:w="10145" w:type="dxa"/>
            <w:gridSpan w:val="7"/>
            <w:shd w:val="clear" w:color="000000" w:fill="FFFFFF"/>
            <w:noWrap/>
            <w:hideMark/>
          </w:tcPr>
          <w:p w14:paraId="7B09A1B6" w14:textId="77777777" w:rsidR="00F97DAE" w:rsidRDefault="00E1388F" w:rsidP="00F97DAE">
            <w:pPr>
              <w:spacing w:after="0" w:line="240" w:lineRule="auto"/>
              <w:jc w:val="both"/>
              <w:rPr>
                <w:rFonts w:eastAsia="Times New Roman"/>
                <w:bCs/>
                <w:color w:val="000000"/>
                <w:lang w:eastAsia="es-MX"/>
              </w:rPr>
            </w:pPr>
            <w:r w:rsidRPr="0076751A">
              <w:rPr>
                <w:rFonts w:eastAsia="Times New Roman"/>
                <w:b/>
                <w:color w:val="000000"/>
                <w:lang w:eastAsia="es-MX"/>
              </w:rPr>
              <w:t>1.7 Metodología Utilizada en la Evaluación:</w:t>
            </w:r>
            <w:r w:rsidR="00332B81" w:rsidRPr="0076751A">
              <w:rPr>
                <w:rFonts w:eastAsia="Times New Roman"/>
                <w:b/>
                <w:color w:val="000000"/>
                <w:lang w:eastAsia="es-MX"/>
              </w:rPr>
              <w:t xml:space="preserve"> </w:t>
            </w:r>
            <w:r w:rsidR="00F97DAE">
              <w:rPr>
                <w:rFonts w:eastAsia="Times New Roman"/>
                <w:bCs/>
                <w:color w:val="000000"/>
                <w:lang w:eastAsia="es-MX"/>
              </w:rPr>
              <w:t>En cuanto al proceso operativo de la evaluación, seguido por los responsables de la evaluación, este contempló dos fases, mismas que se describen de forma resumida en el siguiente listado:</w:t>
            </w:r>
          </w:p>
          <w:p w14:paraId="3D7DD34A" w14:textId="77777777" w:rsidR="00F97DAE" w:rsidRPr="00F97DAE" w:rsidRDefault="00F97DAE" w:rsidP="00C66DAD">
            <w:pPr>
              <w:pStyle w:val="Prrafodelista"/>
              <w:numPr>
                <w:ilvl w:val="0"/>
                <w:numId w:val="36"/>
              </w:numPr>
              <w:spacing w:after="0" w:line="240" w:lineRule="auto"/>
              <w:ind w:left="502" w:hanging="284"/>
              <w:jc w:val="both"/>
              <w:rPr>
                <w:rFonts w:eastAsia="Times New Roman"/>
                <w:b/>
                <w:color w:val="000000"/>
                <w:lang w:eastAsia="es-MX"/>
              </w:rPr>
            </w:pPr>
            <w:r w:rsidRPr="00F97DAE">
              <w:rPr>
                <w:rFonts w:eastAsia="Times New Roman"/>
                <w:b/>
                <w:color w:val="000000"/>
                <w:lang w:eastAsia="es-MX"/>
              </w:rPr>
              <w:t xml:space="preserve">Recolección de información: </w:t>
            </w:r>
            <w:r w:rsidRPr="00F97DAE">
              <w:rPr>
                <w:rFonts w:eastAsia="Times New Roman"/>
                <w:bCs/>
                <w:color w:val="000000"/>
                <w:lang w:eastAsia="es-MX"/>
              </w:rPr>
              <w:t>fase que consideró los procesos inherentes a recabar la información pertinente y necesaria para el análisis sistemático realizado en apego a los TdR aplicados.</w:t>
            </w:r>
          </w:p>
          <w:p w14:paraId="6C04DF6E" w14:textId="64A2F2F0" w:rsidR="00E1388F" w:rsidRPr="00F97DAE" w:rsidRDefault="00F97DAE" w:rsidP="00E1388F">
            <w:pPr>
              <w:pStyle w:val="Prrafodelista"/>
              <w:numPr>
                <w:ilvl w:val="0"/>
                <w:numId w:val="36"/>
              </w:numPr>
              <w:spacing w:after="0" w:line="240" w:lineRule="auto"/>
              <w:ind w:left="502" w:hanging="284"/>
              <w:jc w:val="both"/>
              <w:rPr>
                <w:rFonts w:eastAsia="Times New Roman"/>
                <w:b/>
                <w:color w:val="000000"/>
                <w:lang w:eastAsia="es-MX"/>
              </w:rPr>
            </w:pPr>
            <w:r w:rsidRPr="00F97DAE">
              <w:rPr>
                <w:rFonts w:eastAsia="Times New Roman"/>
                <w:b/>
                <w:color w:val="000000"/>
                <w:lang w:eastAsia="es-MX"/>
              </w:rPr>
              <w:t>Análisis de Gabinete:</w:t>
            </w:r>
            <w:r w:rsidRPr="00F97DAE">
              <w:rPr>
                <w:rFonts w:eastAsia="Times New Roman"/>
                <w:bCs/>
                <w:color w:val="000000"/>
                <w:lang w:eastAsia="es-MX"/>
              </w:rPr>
              <w:t xml:space="preserve"> fase que contempló todos los procesos y procedimientos de análisis minucioso, así como la conformación de los documentos bases para la obtención de resultados y hallazgos de la evaluación.</w:t>
            </w:r>
          </w:p>
        </w:tc>
      </w:tr>
      <w:tr w:rsidR="00690BCC" w:rsidRPr="00E1388F" w14:paraId="27D26DB0" w14:textId="77777777" w:rsidTr="00C47657">
        <w:trPr>
          <w:trHeight w:val="315"/>
          <w:tblCellSpacing w:w="20" w:type="dxa"/>
        </w:trPr>
        <w:tc>
          <w:tcPr>
            <w:tcW w:w="10145" w:type="dxa"/>
            <w:gridSpan w:val="7"/>
            <w:shd w:val="clear" w:color="auto" w:fill="D9D9D9" w:themeFill="background1" w:themeFillShade="D9"/>
            <w:noWrap/>
            <w:hideMark/>
          </w:tcPr>
          <w:p w14:paraId="199C9A26" w14:textId="7FD14CB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Instrumentos de Recolección de Información:</w:t>
            </w:r>
          </w:p>
        </w:tc>
      </w:tr>
      <w:tr w:rsidR="00EC63B6" w:rsidRPr="00E1388F" w14:paraId="5D8FC7AF" w14:textId="77777777" w:rsidTr="00C47657">
        <w:trPr>
          <w:trHeight w:val="341"/>
          <w:tblCellSpacing w:w="20" w:type="dxa"/>
        </w:trPr>
        <w:tc>
          <w:tcPr>
            <w:tcW w:w="2515" w:type="dxa"/>
            <w:gridSpan w:val="2"/>
            <w:shd w:val="clear" w:color="000000" w:fill="FFFFFF"/>
            <w:noWrap/>
            <w:hideMark/>
          </w:tcPr>
          <w:p w14:paraId="4EC6B029" w14:textId="77777777"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lastRenderedPageBreak/>
              <w:t>Cuestionarios:</w:t>
            </w:r>
            <w:r w:rsidR="007C695A">
              <w:rPr>
                <w:rFonts w:eastAsia="Times New Roman"/>
                <w:color w:val="000000"/>
                <w:lang w:eastAsia="es-MX"/>
              </w:rPr>
              <w:t xml:space="preserve">   X</w:t>
            </w:r>
          </w:p>
        </w:tc>
        <w:tc>
          <w:tcPr>
            <w:tcW w:w="2339" w:type="dxa"/>
            <w:gridSpan w:val="2"/>
            <w:shd w:val="clear" w:color="000000" w:fill="FFFFFF"/>
            <w:noWrap/>
            <w:hideMark/>
          </w:tcPr>
          <w:p w14:paraId="3760E9B7" w14:textId="77777777" w:rsidR="007C695A"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Entrevistas:</w:t>
            </w:r>
            <w:r w:rsidR="00C02F24" w:rsidRPr="0076751A">
              <w:rPr>
                <w:rFonts w:eastAsia="Times New Roman"/>
                <w:b/>
                <w:color w:val="000000"/>
                <w:lang w:eastAsia="es-MX"/>
              </w:rPr>
              <w:t xml:space="preserve">    </w:t>
            </w:r>
          </w:p>
        </w:tc>
        <w:tc>
          <w:tcPr>
            <w:tcW w:w="2190" w:type="dxa"/>
            <w:shd w:val="clear" w:color="000000" w:fill="FFFFFF"/>
            <w:noWrap/>
            <w:hideMark/>
          </w:tcPr>
          <w:p w14:paraId="1BF2DCA3"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Formatos:</w:t>
            </w:r>
          </w:p>
        </w:tc>
        <w:tc>
          <w:tcPr>
            <w:tcW w:w="2981" w:type="dxa"/>
            <w:gridSpan w:val="2"/>
            <w:shd w:val="clear" w:color="000000" w:fill="FFFFFF"/>
            <w:noWrap/>
            <w:hideMark/>
          </w:tcPr>
          <w:p w14:paraId="4F0713CF" w14:textId="0DDEACDC"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Especifique:</w:t>
            </w:r>
            <w:r w:rsidR="0076751A">
              <w:rPr>
                <w:rFonts w:eastAsia="Times New Roman"/>
                <w:color w:val="000000"/>
                <w:lang w:eastAsia="es-MX"/>
              </w:rPr>
              <w:t xml:space="preserve"> </w:t>
            </w:r>
            <w:r w:rsidR="00C47657">
              <w:rPr>
                <w:rFonts w:eastAsia="Times New Roman"/>
                <w:color w:val="000000"/>
                <w:lang w:eastAsia="es-MX"/>
              </w:rPr>
              <w:t>Investigación Documental</w:t>
            </w:r>
          </w:p>
        </w:tc>
      </w:tr>
    </w:tbl>
    <w:p w14:paraId="5E6F8652" w14:textId="77777777" w:rsidR="00C40D20" w:rsidRDefault="00C40D20"/>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240"/>
        <w:gridCol w:w="5081"/>
      </w:tblGrid>
      <w:tr w:rsidR="00690BCC" w:rsidRPr="00E1388F" w14:paraId="237864DA" w14:textId="77777777" w:rsidTr="0076751A">
        <w:trPr>
          <w:trHeight w:val="300"/>
          <w:tblCellSpacing w:w="20" w:type="dxa"/>
        </w:trPr>
        <w:tc>
          <w:tcPr>
            <w:tcW w:w="10181" w:type="dxa"/>
            <w:gridSpan w:val="2"/>
            <w:shd w:val="clear" w:color="000000" w:fill="8B1D31"/>
            <w:noWrap/>
            <w:hideMark/>
          </w:tcPr>
          <w:p w14:paraId="7780CE54"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2. Principales Hallazgos de la Evaluación</w:t>
            </w:r>
          </w:p>
        </w:tc>
      </w:tr>
      <w:tr w:rsidR="00690BCC" w:rsidRPr="00E1388F" w14:paraId="6D1973E1" w14:textId="77777777" w:rsidTr="0076751A">
        <w:trPr>
          <w:trHeight w:val="465"/>
          <w:tblCellSpacing w:w="20" w:type="dxa"/>
        </w:trPr>
        <w:tc>
          <w:tcPr>
            <w:tcW w:w="10181" w:type="dxa"/>
            <w:gridSpan w:val="2"/>
            <w:shd w:val="clear" w:color="000000" w:fill="FFFFFF"/>
            <w:noWrap/>
            <w:hideMark/>
          </w:tcPr>
          <w:p w14:paraId="5CC1CE3E" w14:textId="77777777" w:rsidR="00E1388F" w:rsidRPr="0076751A" w:rsidRDefault="00E1388F" w:rsidP="00EC5A67">
            <w:pPr>
              <w:spacing w:after="0" w:line="240" w:lineRule="auto"/>
              <w:jc w:val="both"/>
              <w:rPr>
                <w:rFonts w:eastAsia="Times New Roman"/>
                <w:b/>
                <w:color w:val="000000"/>
                <w:lang w:eastAsia="es-MX"/>
              </w:rPr>
            </w:pPr>
            <w:r w:rsidRPr="0076751A">
              <w:rPr>
                <w:rFonts w:eastAsia="Times New Roman"/>
                <w:b/>
                <w:color w:val="000000"/>
                <w:lang w:eastAsia="es-MX"/>
              </w:rPr>
              <w:t>2.1 Describir</w:t>
            </w:r>
            <w:r w:rsidR="00690BCC" w:rsidRPr="0076751A">
              <w:rPr>
                <w:rFonts w:eastAsia="Times New Roman"/>
                <w:b/>
                <w:color w:val="000000"/>
                <w:lang w:eastAsia="es-MX"/>
              </w:rPr>
              <w:t xml:space="preserve"> los Hallazgos más Relevantes d</w:t>
            </w:r>
            <w:r w:rsidRPr="0076751A">
              <w:rPr>
                <w:rFonts w:eastAsia="Times New Roman"/>
                <w:b/>
                <w:color w:val="000000"/>
                <w:lang w:eastAsia="es-MX"/>
              </w:rPr>
              <w:t>e</w:t>
            </w:r>
            <w:r w:rsidR="00690BCC" w:rsidRPr="0076751A">
              <w:rPr>
                <w:rFonts w:eastAsia="Times New Roman"/>
                <w:b/>
                <w:color w:val="000000"/>
                <w:lang w:eastAsia="es-MX"/>
              </w:rPr>
              <w:t xml:space="preserve"> </w:t>
            </w:r>
            <w:r w:rsidRPr="0076751A">
              <w:rPr>
                <w:rFonts w:eastAsia="Times New Roman"/>
                <w:b/>
                <w:color w:val="000000"/>
                <w:lang w:eastAsia="es-MX"/>
              </w:rPr>
              <w:t>la Evaluación</w:t>
            </w:r>
            <w:r w:rsidR="00C47657" w:rsidRPr="0076751A">
              <w:rPr>
                <w:rFonts w:eastAsia="Times New Roman"/>
                <w:b/>
                <w:color w:val="000000"/>
                <w:lang w:eastAsia="es-MX"/>
              </w:rPr>
              <w:t>:</w:t>
            </w:r>
          </w:p>
          <w:p w14:paraId="68722FA3" w14:textId="77777777" w:rsidR="00F52C3E" w:rsidRDefault="00F52C3E" w:rsidP="00EC5A67">
            <w:pPr>
              <w:spacing w:after="0" w:line="240" w:lineRule="auto"/>
              <w:jc w:val="both"/>
            </w:pPr>
          </w:p>
          <w:p w14:paraId="12121291" w14:textId="17887160" w:rsidR="00C47657" w:rsidRDefault="00C47657" w:rsidP="00EC5A67">
            <w:pPr>
              <w:spacing w:after="0" w:line="240" w:lineRule="auto"/>
              <w:jc w:val="both"/>
            </w:pPr>
            <w:r>
              <w:t xml:space="preserve">El </w:t>
            </w:r>
            <w:r w:rsidRPr="00F52C3E">
              <w:rPr>
                <w:i/>
                <w:iCs/>
              </w:rPr>
              <w:t>Resumen Narrativo del Fin y del Propósito</w:t>
            </w:r>
            <w:r w:rsidRPr="00041D1D">
              <w:t xml:space="preserve"> es consistente con</w:t>
            </w:r>
            <w:r>
              <w:t xml:space="preserve"> el problema a atender por el FASSA</w:t>
            </w:r>
            <w:r w:rsidRPr="00041D1D">
              <w:t xml:space="preserve"> y e</w:t>
            </w:r>
            <w:r>
              <w:t>l objetivo del FASSA</w:t>
            </w:r>
            <w:r w:rsidRPr="00041D1D">
              <w:t xml:space="preserve">. Los indicadores también son consistentes con el </w:t>
            </w:r>
            <w:r w:rsidRPr="00F52C3E">
              <w:rPr>
                <w:i/>
                <w:iCs/>
              </w:rPr>
              <w:t>Resumen Narrativo</w:t>
            </w:r>
            <w:r w:rsidRPr="00041D1D">
              <w:t>. En este sentido se tiene una lógica horizontal y vertical de la MIR</w:t>
            </w:r>
            <w:r>
              <w:t>.</w:t>
            </w:r>
          </w:p>
          <w:p w14:paraId="5A5F09AF" w14:textId="77777777" w:rsidR="0076751A" w:rsidRDefault="0076751A" w:rsidP="00EC5A67">
            <w:pPr>
              <w:spacing w:after="0" w:line="240" w:lineRule="auto"/>
              <w:jc w:val="both"/>
            </w:pPr>
          </w:p>
          <w:p w14:paraId="0B036395" w14:textId="77777777" w:rsidR="00C47657" w:rsidRDefault="00C47657" w:rsidP="00EC5A67">
            <w:pPr>
              <w:jc w:val="both"/>
            </w:pPr>
            <w:r>
              <w:t>Se analizaron algunos de los indicadores para resultados del FASSA definidos por la Secretaría de Salud, los cuales evidencian la calidad y oportunidad de los servicios de salud a la población abierta; los resultados son los siguientes:</w:t>
            </w:r>
          </w:p>
          <w:p w14:paraId="1C0FF8EA" w14:textId="1D16528D" w:rsidR="00C47657" w:rsidRDefault="00882D61" w:rsidP="0076751A">
            <w:pPr>
              <w:jc w:val="both"/>
            </w:pPr>
            <w:r w:rsidRPr="00882D61">
              <w:t xml:space="preserve">En Sinaloa se cuenta con 224 centros de Salud de Primer Nivel de Atención y una </w:t>
            </w:r>
            <w:r w:rsidR="00152D47">
              <w:t>C</w:t>
            </w:r>
            <w:r w:rsidRPr="00882D61">
              <w:t>asa de Salud, mediante el programa para la Atención a la Salud y Medicamentos Gratuitos para la Población sin Seguridad Social Laboral, se benefició a 140 centros de salud.</w:t>
            </w:r>
          </w:p>
          <w:p w14:paraId="2BCCDBD0" w14:textId="1BA72D96" w:rsidR="00882D61" w:rsidRPr="0076751A" w:rsidRDefault="00882D61" w:rsidP="0076751A">
            <w:pPr>
              <w:jc w:val="both"/>
            </w:pPr>
            <w:r w:rsidRPr="00882D61">
              <w:t xml:space="preserve">De acuerdo con el Sistema Nacional de Indicadores de Calidad en Salud, se reportó que en el ejercicio fiscal 2020 en el indicador </w:t>
            </w:r>
            <w:r w:rsidRPr="00152D47">
              <w:rPr>
                <w:i/>
                <w:iCs/>
              </w:rPr>
              <w:t>Hospitales</w:t>
            </w:r>
            <w:r w:rsidRPr="00882D61">
              <w:t xml:space="preserve"> se alcanzó una satisfacción con el trato recibido del 97.28%, para la información proporcionada por el médico se obtuvo un 98.38%, en cuanto al indicador de </w:t>
            </w:r>
            <w:r w:rsidRPr="00152D47">
              <w:rPr>
                <w:i/>
                <w:iCs/>
              </w:rPr>
              <w:t>Atención Médica Efectiva</w:t>
            </w:r>
            <w:r w:rsidRPr="00882D61">
              <w:t xml:space="preserve"> (</w:t>
            </w:r>
            <w:r w:rsidR="00152D47">
              <w:t>a</w:t>
            </w:r>
            <w:r w:rsidRPr="00882D61">
              <w:t xml:space="preserve">tención </w:t>
            </w:r>
            <w:r w:rsidR="00152D47">
              <w:t>p</w:t>
            </w:r>
            <w:r w:rsidRPr="00882D61">
              <w:t xml:space="preserve">renatal, </w:t>
            </w:r>
            <w:r w:rsidR="00152D47">
              <w:t>a</w:t>
            </w:r>
            <w:r w:rsidRPr="00882D61">
              <w:t xml:space="preserve">tención al menor de 5 años con enfermedad </w:t>
            </w:r>
            <w:r w:rsidR="00152D47">
              <w:t>d</w:t>
            </w:r>
            <w:r w:rsidRPr="00882D61">
              <w:t xml:space="preserve">iarreica </w:t>
            </w:r>
            <w:r w:rsidR="00152D47">
              <w:t>a</w:t>
            </w:r>
            <w:r w:rsidRPr="00882D61">
              <w:t xml:space="preserve">guda, </w:t>
            </w:r>
            <w:r w:rsidR="00152D47">
              <w:t>a</w:t>
            </w:r>
            <w:r w:rsidRPr="00882D61">
              <w:t xml:space="preserve">tención al menor de 5 años con infección </w:t>
            </w:r>
            <w:r w:rsidR="00152D47">
              <w:t>r</w:t>
            </w:r>
            <w:r w:rsidRPr="00882D61">
              <w:t xml:space="preserve">espiratoria </w:t>
            </w:r>
            <w:r w:rsidR="00152D47">
              <w:t>a</w:t>
            </w:r>
            <w:r w:rsidRPr="00882D61">
              <w:t xml:space="preserve">guda, </w:t>
            </w:r>
            <w:r w:rsidR="00152D47">
              <w:t>a</w:t>
            </w:r>
            <w:r w:rsidRPr="00882D61">
              <w:t xml:space="preserve">tención al paciente </w:t>
            </w:r>
            <w:r w:rsidR="00152D47">
              <w:t>h</w:t>
            </w:r>
            <w:r w:rsidRPr="00882D61">
              <w:t xml:space="preserve">ospitalario y </w:t>
            </w:r>
            <w:r w:rsidR="00152D47">
              <w:t>a</w:t>
            </w:r>
            <w:r w:rsidRPr="00882D61">
              <w:t xml:space="preserve">tención al </w:t>
            </w:r>
            <w:r w:rsidR="00152D47">
              <w:t>p</w:t>
            </w:r>
            <w:r w:rsidRPr="00882D61">
              <w:t xml:space="preserve">aciente </w:t>
            </w:r>
            <w:r w:rsidR="00152D47">
              <w:t>d</w:t>
            </w:r>
            <w:r w:rsidRPr="00882D61">
              <w:t xml:space="preserve">iabético) </w:t>
            </w:r>
            <w:r w:rsidR="00152D47">
              <w:t>s</w:t>
            </w:r>
            <w:r w:rsidRPr="00882D61">
              <w:t xml:space="preserve">e </w:t>
            </w:r>
            <w:r w:rsidR="00152D47" w:rsidRPr="00882D61">
              <w:t>registró</w:t>
            </w:r>
            <w:r w:rsidRPr="00882D61">
              <w:t xml:space="preserve"> el 94.8% de la satisfacción.</w:t>
            </w:r>
          </w:p>
        </w:tc>
      </w:tr>
      <w:tr w:rsidR="00690BCC" w:rsidRPr="00E1388F" w14:paraId="29F39833" w14:textId="77777777" w:rsidTr="0076751A">
        <w:trPr>
          <w:trHeight w:val="660"/>
          <w:tblCellSpacing w:w="20" w:type="dxa"/>
        </w:trPr>
        <w:tc>
          <w:tcPr>
            <w:tcW w:w="10181" w:type="dxa"/>
            <w:gridSpan w:val="2"/>
            <w:shd w:val="clear" w:color="auto" w:fill="D9D9D9" w:themeFill="background1" w:themeFillShade="D9"/>
            <w:hideMark/>
          </w:tcPr>
          <w:p w14:paraId="047F7D39"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2.2 Señalar </w:t>
            </w:r>
            <w:r w:rsidR="00690BCC" w:rsidRPr="0076751A">
              <w:rPr>
                <w:rFonts w:eastAsia="Times New Roman"/>
                <w:b/>
                <w:color w:val="000000"/>
                <w:lang w:eastAsia="es-MX"/>
              </w:rPr>
              <w:t>Cuáles</w:t>
            </w:r>
            <w:r w:rsidRPr="0076751A">
              <w:rPr>
                <w:rFonts w:eastAsia="Times New Roman"/>
                <w:b/>
                <w:color w:val="000000"/>
                <w:lang w:eastAsia="es-MX"/>
              </w:rPr>
              <w:t xml:space="preserve"> son las Principales Fortalezas, Oportunidades, Debilidades y Amenazas (FODA), de Acuerdo con los temas del Programa, Estrategia o Instituciones.</w:t>
            </w:r>
          </w:p>
        </w:tc>
      </w:tr>
      <w:tr w:rsidR="00690BCC" w:rsidRPr="00E1388F" w14:paraId="67B7C666" w14:textId="77777777" w:rsidTr="0076751A">
        <w:trPr>
          <w:trHeight w:val="555"/>
          <w:tblCellSpacing w:w="20" w:type="dxa"/>
        </w:trPr>
        <w:tc>
          <w:tcPr>
            <w:tcW w:w="5150" w:type="dxa"/>
            <w:vMerge w:val="restart"/>
            <w:shd w:val="clear" w:color="000000" w:fill="FFFFFF"/>
            <w:noWrap/>
            <w:hideMark/>
          </w:tcPr>
          <w:p w14:paraId="0122A19E" w14:textId="77777777" w:rsidR="00E41932" w:rsidRPr="0076751A" w:rsidRDefault="00E1388F" w:rsidP="0076751A">
            <w:pPr>
              <w:spacing w:after="0" w:line="240" w:lineRule="auto"/>
              <w:jc w:val="both"/>
              <w:rPr>
                <w:b/>
              </w:rPr>
            </w:pPr>
            <w:r w:rsidRPr="0076751A">
              <w:rPr>
                <w:rFonts w:eastAsia="Times New Roman"/>
                <w:b/>
                <w:color w:val="000000"/>
                <w:lang w:eastAsia="es-MX"/>
              </w:rPr>
              <w:t>2.2.1 Fortalezas:</w:t>
            </w:r>
          </w:p>
          <w:p w14:paraId="289EC9A5" w14:textId="778CA383" w:rsidR="00E41932" w:rsidRDefault="00E41932" w:rsidP="0076751A">
            <w:pPr>
              <w:pStyle w:val="Prrafodelista"/>
              <w:numPr>
                <w:ilvl w:val="0"/>
                <w:numId w:val="30"/>
              </w:numPr>
              <w:spacing w:before="240" w:after="200" w:line="276" w:lineRule="auto"/>
              <w:jc w:val="both"/>
            </w:pPr>
            <w:r>
              <w:t>El FASSA es un fondo relevante porque financia un alto porcentaje del personal de la plantilla de los servicios de salud en la entidad. Así, el Fondo es una fuente de financiamiento relevante al interior de la organización y puede motivar acciones de mejora en la operación de sus recursos</w:t>
            </w:r>
            <w:r w:rsidR="00152D47">
              <w:t>.</w:t>
            </w:r>
          </w:p>
          <w:p w14:paraId="6EAA8EF7" w14:textId="77777777" w:rsidR="00E41932" w:rsidRDefault="00E41932" w:rsidP="00E41932">
            <w:pPr>
              <w:pStyle w:val="Prrafodelista"/>
              <w:numPr>
                <w:ilvl w:val="0"/>
                <w:numId w:val="30"/>
              </w:numPr>
              <w:spacing w:before="100" w:after="200" w:line="276" w:lineRule="auto"/>
              <w:jc w:val="both"/>
            </w:pPr>
            <w:r>
              <w:t xml:space="preserve">Adecuada alineación de objetivos y metas con los instrumentos de planeación del ámbito federal y estatal. </w:t>
            </w:r>
          </w:p>
          <w:p w14:paraId="203B7EC6" w14:textId="1DF16472" w:rsidR="00E41932" w:rsidRDefault="00E41932" w:rsidP="00E41932">
            <w:pPr>
              <w:pStyle w:val="Prrafodelista"/>
              <w:numPr>
                <w:ilvl w:val="0"/>
                <w:numId w:val="30"/>
              </w:numPr>
              <w:spacing w:before="100" w:after="200" w:line="276" w:lineRule="auto"/>
              <w:jc w:val="both"/>
            </w:pPr>
            <w:r>
              <w:lastRenderedPageBreak/>
              <w:t xml:space="preserve">Metas claramente definidas y programadas que abonan al alcance del objetivo del Fondo evaluado. </w:t>
            </w:r>
          </w:p>
          <w:p w14:paraId="257B367E" w14:textId="1CA33603" w:rsidR="00E41932" w:rsidRDefault="00E41932" w:rsidP="00E41932">
            <w:pPr>
              <w:pStyle w:val="Prrafodelista"/>
              <w:numPr>
                <w:ilvl w:val="0"/>
                <w:numId w:val="30"/>
              </w:numPr>
              <w:spacing w:before="100" w:after="200" w:line="276" w:lineRule="auto"/>
              <w:jc w:val="both"/>
            </w:pPr>
            <w:r>
              <w:t>Los indicadores correspondientes a las matrices cuentan con las características de temporalidad y línea base</w:t>
            </w:r>
            <w:r w:rsidR="00152D47">
              <w:t>.</w:t>
            </w:r>
          </w:p>
          <w:p w14:paraId="02E63AF9" w14:textId="3C5BDB92" w:rsidR="00E41932" w:rsidRDefault="00E41932" w:rsidP="00E41932">
            <w:pPr>
              <w:pStyle w:val="Prrafodelista"/>
              <w:numPr>
                <w:ilvl w:val="0"/>
                <w:numId w:val="30"/>
              </w:numPr>
              <w:spacing w:before="100" w:after="200" w:line="276" w:lineRule="auto"/>
              <w:jc w:val="both"/>
            </w:pPr>
            <w:r>
              <w:t>Los programas del fondo identifican claramente a la población objetivo a la cual están destinados los bienes y servicios que proporcionan</w:t>
            </w:r>
            <w:r w:rsidR="00152D47">
              <w:t>.</w:t>
            </w:r>
          </w:p>
          <w:p w14:paraId="5571029A" w14:textId="2B0338A5" w:rsidR="00E41932" w:rsidRDefault="00E41932" w:rsidP="00E41932">
            <w:pPr>
              <w:pStyle w:val="Prrafodelista"/>
              <w:numPr>
                <w:ilvl w:val="0"/>
                <w:numId w:val="30"/>
              </w:numPr>
              <w:spacing w:before="100" w:after="200" w:line="276" w:lineRule="auto"/>
              <w:jc w:val="both"/>
            </w:pPr>
            <w:r>
              <w:t>El fondo cuenta con métodos que permiten cuantificar y determinar la población objetivo</w:t>
            </w:r>
            <w:r w:rsidR="00152D47">
              <w:t>.</w:t>
            </w:r>
          </w:p>
          <w:p w14:paraId="6B7DA4DD" w14:textId="35A0EC28" w:rsidR="00E41932" w:rsidRDefault="00E41932" w:rsidP="00E41932">
            <w:pPr>
              <w:pStyle w:val="Prrafodelista"/>
              <w:numPr>
                <w:ilvl w:val="0"/>
                <w:numId w:val="30"/>
              </w:numPr>
              <w:spacing w:before="100" w:after="200" w:line="276" w:lineRule="auto"/>
              <w:jc w:val="both"/>
            </w:pPr>
            <w:r>
              <w:t xml:space="preserve">El fondo ha logrado establecer un avance en atención a la población objetivo antes </w:t>
            </w:r>
            <w:proofErr w:type="gramStart"/>
            <w:r>
              <w:t>identificada</w:t>
            </w:r>
            <w:proofErr w:type="gramEnd"/>
            <w:r w:rsidR="00152D47">
              <w:t>.</w:t>
            </w:r>
          </w:p>
          <w:p w14:paraId="4E2A97BD" w14:textId="77777777" w:rsidR="00E41932" w:rsidRDefault="00E41932" w:rsidP="00E41932">
            <w:pPr>
              <w:pStyle w:val="Prrafodelista"/>
              <w:numPr>
                <w:ilvl w:val="0"/>
                <w:numId w:val="30"/>
              </w:numPr>
              <w:spacing w:before="100" w:after="200" w:line="276" w:lineRule="auto"/>
              <w:jc w:val="both"/>
            </w:pPr>
            <w:r>
              <w:t>El organismo estatal cuenta con Matriz de Marco Lógico que sustenta su proceso de planeación, programació</w:t>
            </w:r>
            <w:r w:rsidR="000950AD">
              <w:t>n, seguimiento y evaluación 2020</w:t>
            </w:r>
            <w:r>
              <w:t xml:space="preserve">, congruente con la lógica vertical y horizontal de acuerdo a la metodología. </w:t>
            </w:r>
          </w:p>
          <w:p w14:paraId="530C0566" w14:textId="494AD2AE" w:rsidR="00E41932" w:rsidRDefault="00C97287" w:rsidP="00E41932">
            <w:pPr>
              <w:pStyle w:val="Prrafodelista"/>
              <w:numPr>
                <w:ilvl w:val="0"/>
                <w:numId w:val="30"/>
              </w:numPr>
              <w:spacing w:before="100" w:after="200" w:line="276" w:lineRule="auto"/>
              <w:jc w:val="both"/>
            </w:pPr>
            <w:r>
              <w:t>Se c</w:t>
            </w:r>
            <w:r w:rsidR="00E41932">
              <w:t>uenta con una estructura organizacional donde claramente se establece los objetivos para alcanzar el propósito y el fin</w:t>
            </w:r>
            <w:r w:rsidR="00152D47">
              <w:t>.</w:t>
            </w:r>
          </w:p>
          <w:p w14:paraId="0F380ECC" w14:textId="77777777" w:rsidR="00E41932" w:rsidRDefault="00E41932" w:rsidP="00E41932">
            <w:pPr>
              <w:pStyle w:val="Prrafodelista"/>
              <w:numPr>
                <w:ilvl w:val="0"/>
                <w:numId w:val="30"/>
              </w:numPr>
              <w:spacing w:before="100" w:after="200" w:line="276" w:lineRule="auto"/>
              <w:jc w:val="both"/>
            </w:pPr>
            <w:r>
              <w:t xml:space="preserve">Se cuenta con mecanismos de transparencia para los recursos estatales y de transferencia federal. </w:t>
            </w:r>
          </w:p>
          <w:p w14:paraId="749C5B6F" w14:textId="77777777" w:rsidR="00E41932" w:rsidRDefault="00E41932" w:rsidP="00E41932">
            <w:pPr>
              <w:pStyle w:val="Prrafodelista"/>
              <w:numPr>
                <w:ilvl w:val="0"/>
                <w:numId w:val="30"/>
              </w:numPr>
              <w:spacing w:before="100" w:after="200" w:line="276" w:lineRule="auto"/>
              <w:jc w:val="both"/>
            </w:pPr>
            <w:r>
              <w:t xml:space="preserve">El presupuesto asignado a los programas que atienden directamente el objetivo del fondo, refleja un efectivo flujo del recurso asignado. </w:t>
            </w:r>
          </w:p>
          <w:p w14:paraId="2D6C9B6D" w14:textId="77777777" w:rsidR="00E41932" w:rsidRDefault="00E41932" w:rsidP="00E41932">
            <w:pPr>
              <w:pStyle w:val="Prrafodelista"/>
              <w:numPr>
                <w:ilvl w:val="0"/>
                <w:numId w:val="30"/>
              </w:numPr>
              <w:spacing w:before="100" w:after="200" w:line="276" w:lineRule="auto"/>
              <w:jc w:val="both"/>
            </w:pPr>
            <w:r>
              <w:t>Se cuenta con indicadores definidos que permiten dar seguimiento puntual, a los compromisos y objetivos a nivel institución, permitiendo conocer las áreas de oportunidad de mejora.</w:t>
            </w:r>
          </w:p>
          <w:p w14:paraId="3A935FDE" w14:textId="77777777" w:rsidR="00E41932" w:rsidRDefault="00E41932" w:rsidP="00E41932">
            <w:pPr>
              <w:pStyle w:val="Prrafodelista"/>
              <w:numPr>
                <w:ilvl w:val="0"/>
                <w:numId w:val="30"/>
              </w:numPr>
              <w:spacing w:before="100" w:after="200" w:line="276" w:lineRule="auto"/>
              <w:jc w:val="both"/>
            </w:pPr>
            <w:r>
              <w:t xml:space="preserve">Se cuenta con un excelente porcentaje de cobertura de atención a la población. </w:t>
            </w:r>
          </w:p>
          <w:p w14:paraId="42D19520" w14:textId="56814642" w:rsidR="00E41932" w:rsidRDefault="00E41932" w:rsidP="00E41932">
            <w:pPr>
              <w:pStyle w:val="Prrafodelista"/>
              <w:numPr>
                <w:ilvl w:val="0"/>
                <w:numId w:val="30"/>
              </w:numPr>
              <w:spacing w:before="100" w:after="200" w:line="276" w:lineRule="auto"/>
              <w:jc w:val="both"/>
            </w:pPr>
            <w:r>
              <w:t>Los indicadores, metas y objetivos correspondientes a los planes cuentan con viabilidad y factibilidad para su desarrollo</w:t>
            </w:r>
            <w:r w:rsidR="00C97287">
              <w:t>.</w:t>
            </w:r>
          </w:p>
          <w:p w14:paraId="7D52BF6B" w14:textId="6A944BCC" w:rsidR="00E41932" w:rsidRDefault="00E41932" w:rsidP="00E41932">
            <w:pPr>
              <w:pStyle w:val="Prrafodelista"/>
              <w:numPr>
                <w:ilvl w:val="0"/>
                <w:numId w:val="30"/>
              </w:numPr>
              <w:spacing w:before="100" w:after="200" w:line="276" w:lineRule="auto"/>
              <w:jc w:val="both"/>
            </w:pPr>
            <w:r>
              <w:t xml:space="preserve">La relación con las Secretarías de Salud </w:t>
            </w:r>
            <w:r w:rsidR="00C97287">
              <w:t>E</w:t>
            </w:r>
            <w:r>
              <w:t xml:space="preserve">statal y </w:t>
            </w:r>
            <w:r w:rsidR="00C97287">
              <w:t>F</w:t>
            </w:r>
            <w:r>
              <w:t xml:space="preserve">ederal es fluida porque se ha estandarizado la </w:t>
            </w:r>
            <w:r>
              <w:lastRenderedPageBreak/>
              <w:t xml:space="preserve">forma en la que se presentan los requerimientos de información. Ello contribuye </w:t>
            </w:r>
            <w:r w:rsidR="00C97287">
              <w:t>a</w:t>
            </w:r>
            <w:r>
              <w:t xml:space="preserve"> agilizar las actividades de coordinación y rendición de cuentas</w:t>
            </w:r>
            <w:r w:rsidR="00C97287">
              <w:t>.</w:t>
            </w:r>
          </w:p>
          <w:p w14:paraId="6A86610F" w14:textId="562CBF54" w:rsidR="00E41932" w:rsidRDefault="00E41932" w:rsidP="00E41932">
            <w:pPr>
              <w:pStyle w:val="Prrafodelista"/>
              <w:numPr>
                <w:ilvl w:val="0"/>
                <w:numId w:val="30"/>
              </w:numPr>
              <w:spacing w:before="100" w:after="200" w:line="276" w:lineRule="auto"/>
              <w:jc w:val="both"/>
            </w:pPr>
            <w:r>
              <w:t>La programación se realiza colaborativamente con la participación de las áreas y por ello existe comunicación al interior del ejecutor del gasto</w:t>
            </w:r>
            <w:r w:rsidR="00C97287">
              <w:t>.</w:t>
            </w:r>
          </w:p>
          <w:p w14:paraId="40465996" w14:textId="77777777" w:rsidR="00E41932" w:rsidRDefault="00E41932" w:rsidP="00E41932">
            <w:pPr>
              <w:pStyle w:val="Prrafodelista"/>
              <w:numPr>
                <w:ilvl w:val="0"/>
                <w:numId w:val="30"/>
              </w:numPr>
              <w:spacing w:before="100" w:after="200" w:line="276" w:lineRule="auto"/>
              <w:jc w:val="both"/>
            </w:pPr>
            <w:r w:rsidRPr="009029DF">
              <w:t>Se dispone de sistemas de información estadística tanto federal como estatal que cuantifican los recursos humanos y materiales (SINERHIAS, las bases de datos administrativos, etcétera).</w:t>
            </w:r>
          </w:p>
          <w:p w14:paraId="65E7A0DD" w14:textId="77777777" w:rsidR="00BF25EA" w:rsidRPr="00E41932" w:rsidRDefault="00E41932" w:rsidP="00754766">
            <w:pPr>
              <w:pStyle w:val="Prrafodelista"/>
              <w:numPr>
                <w:ilvl w:val="0"/>
                <w:numId w:val="30"/>
              </w:numPr>
              <w:spacing w:after="0" w:line="240" w:lineRule="auto"/>
              <w:jc w:val="both"/>
              <w:rPr>
                <w:rFonts w:eastAsia="Times New Roman"/>
                <w:color w:val="000000"/>
                <w:lang w:eastAsia="es-MX"/>
              </w:rPr>
            </w:pPr>
            <w:r w:rsidRPr="00CB74DA">
              <w:t>A nivel federal se establece</w:t>
            </w:r>
            <w:r>
              <w:t>n</w:t>
            </w:r>
            <w:r w:rsidRPr="00CB74DA">
              <w:t xml:space="preserve"> lo</w:t>
            </w:r>
            <w:r>
              <w:t xml:space="preserve">s </w:t>
            </w:r>
            <w:r w:rsidRPr="00CB74DA">
              <w:t>criterios y fórmulas de cálculo para la asignación de recursos, así como su calendarización; a nivel estatal hay manuales estandarizados para la distribución de las aportaciones.</w:t>
            </w:r>
          </w:p>
        </w:tc>
        <w:tc>
          <w:tcPr>
            <w:tcW w:w="4991" w:type="dxa"/>
            <w:vMerge w:val="restart"/>
            <w:shd w:val="clear" w:color="000000" w:fill="FFFFFF"/>
            <w:noWrap/>
            <w:hideMark/>
          </w:tcPr>
          <w:p w14:paraId="0213222B" w14:textId="77777777" w:rsidR="00E1388F" w:rsidRPr="0076751A" w:rsidRDefault="00D50015"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2.2.2 Oportunidades</w:t>
            </w:r>
            <w:r w:rsidR="00E1388F" w:rsidRPr="0076751A">
              <w:rPr>
                <w:rFonts w:eastAsia="Times New Roman"/>
                <w:b/>
                <w:color w:val="000000"/>
                <w:lang w:eastAsia="es-MX"/>
              </w:rPr>
              <w:t>:</w:t>
            </w:r>
          </w:p>
          <w:p w14:paraId="331283F8" w14:textId="77777777" w:rsidR="00E41932" w:rsidRDefault="00E41932" w:rsidP="00E41932">
            <w:pPr>
              <w:pStyle w:val="Prrafodelista"/>
              <w:numPr>
                <w:ilvl w:val="0"/>
                <w:numId w:val="31"/>
              </w:numPr>
              <w:spacing w:before="100" w:after="200" w:line="276" w:lineRule="auto"/>
              <w:jc w:val="both"/>
            </w:pPr>
            <w:r w:rsidRPr="009029DF">
              <w:t>La disposición de información estadística puede ser un mecanismo para la elaboración de un diagnóstico específico de necesidades de recursos humanos y de infraestructura</w:t>
            </w:r>
            <w:r>
              <w:t>.</w:t>
            </w:r>
          </w:p>
          <w:p w14:paraId="685D8B59" w14:textId="6969D87E" w:rsidR="00E41932" w:rsidRPr="00E41932" w:rsidRDefault="00E41932" w:rsidP="00E41932">
            <w:pPr>
              <w:pStyle w:val="Prrafodelista"/>
              <w:numPr>
                <w:ilvl w:val="0"/>
                <w:numId w:val="31"/>
              </w:numPr>
              <w:spacing w:after="0" w:line="240" w:lineRule="auto"/>
              <w:rPr>
                <w:rFonts w:eastAsia="Times New Roman"/>
                <w:color w:val="000000"/>
                <w:lang w:eastAsia="es-MX"/>
              </w:rPr>
            </w:pPr>
            <w:r>
              <w:t xml:space="preserve">La contribución y el destino de las aportaciones se </w:t>
            </w:r>
            <w:r w:rsidRPr="009029DF">
              <w:t>encuentra estandarizada a través de instrumentos federales y estatales</w:t>
            </w:r>
            <w:r w:rsidR="00152D47">
              <w:t>.</w:t>
            </w:r>
          </w:p>
        </w:tc>
      </w:tr>
      <w:tr w:rsidR="00690BCC" w:rsidRPr="00E1388F" w14:paraId="4D4B2651" w14:textId="77777777" w:rsidTr="0076751A">
        <w:trPr>
          <w:trHeight w:val="555"/>
          <w:tblCellSpacing w:w="20" w:type="dxa"/>
        </w:trPr>
        <w:tc>
          <w:tcPr>
            <w:tcW w:w="5150" w:type="dxa"/>
            <w:vMerge/>
            <w:vAlign w:val="center"/>
            <w:hideMark/>
          </w:tcPr>
          <w:p w14:paraId="10431492" w14:textId="77777777"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14:paraId="7878CC86" w14:textId="77777777" w:rsidR="00E1388F" w:rsidRPr="00E1388F" w:rsidRDefault="00E1388F" w:rsidP="00E1388F">
            <w:pPr>
              <w:spacing w:after="0" w:line="240" w:lineRule="auto"/>
              <w:rPr>
                <w:rFonts w:eastAsia="Times New Roman"/>
                <w:color w:val="000000"/>
                <w:lang w:eastAsia="es-MX"/>
              </w:rPr>
            </w:pPr>
          </w:p>
        </w:tc>
      </w:tr>
      <w:tr w:rsidR="00690BCC" w:rsidRPr="00E1388F" w14:paraId="04A06736" w14:textId="77777777" w:rsidTr="0076751A">
        <w:trPr>
          <w:trHeight w:val="555"/>
          <w:tblCellSpacing w:w="20" w:type="dxa"/>
        </w:trPr>
        <w:tc>
          <w:tcPr>
            <w:tcW w:w="5150" w:type="dxa"/>
            <w:vMerge/>
            <w:vAlign w:val="center"/>
            <w:hideMark/>
          </w:tcPr>
          <w:p w14:paraId="5709D228" w14:textId="77777777"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14:paraId="2ED0357A" w14:textId="77777777" w:rsidR="00E1388F" w:rsidRPr="00E1388F" w:rsidRDefault="00E1388F" w:rsidP="00E1388F">
            <w:pPr>
              <w:spacing w:after="0" w:line="240" w:lineRule="auto"/>
              <w:rPr>
                <w:rFonts w:eastAsia="Times New Roman"/>
                <w:color w:val="000000"/>
                <w:lang w:eastAsia="es-MX"/>
              </w:rPr>
            </w:pPr>
          </w:p>
        </w:tc>
      </w:tr>
      <w:tr w:rsidR="00690BCC" w:rsidRPr="00E1388F" w14:paraId="1278BA16" w14:textId="77777777" w:rsidTr="0076751A">
        <w:trPr>
          <w:trHeight w:val="555"/>
          <w:tblCellSpacing w:w="20" w:type="dxa"/>
        </w:trPr>
        <w:tc>
          <w:tcPr>
            <w:tcW w:w="5150" w:type="dxa"/>
            <w:vMerge w:val="restart"/>
            <w:shd w:val="clear" w:color="000000" w:fill="FFFFFF"/>
            <w:noWrap/>
            <w:hideMark/>
          </w:tcPr>
          <w:p w14:paraId="18A42696" w14:textId="77777777" w:rsidR="00E1388F" w:rsidRPr="0076751A" w:rsidRDefault="00E1388F"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2.2.3 Debilidades:</w:t>
            </w:r>
            <w:r w:rsidR="00BF25EA" w:rsidRPr="0076751A">
              <w:rPr>
                <w:rFonts w:eastAsia="Times New Roman"/>
                <w:b/>
                <w:color w:val="000000"/>
                <w:lang w:eastAsia="es-MX"/>
              </w:rPr>
              <w:t xml:space="preserve"> </w:t>
            </w:r>
          </w:p>
          <w:p w14:paraId="6C690329" w14:textId="77777777" w:rsidR="00E41932" w:rsidRDefault="00E41932" w:rsidP="007B478A">
            <w:pPr>
              <w:pStyle w:val="Prrafodelista"/>
              <w:numPr>
                <w:ilvl w:val="0"/>
                <w:numId w:val="32"/>
              </w:numPr>
              <w:spacing w:before="100" w:after="200" w:line="276" w:lineRule="auto"/>
              <w:jc w:val="both"/>
            </w:pPr>
            <w:r>
              <w:t xml:space="preserve">No existe un método claro y sistemático para la priorización de necesidades. </w:t>
            </w:r>
          </w:p>
          <w:p w14:paraId="13AB1E5A" w14:textId="77777777" w:rsidR="00E41932" w:rsidRDefault="00E41932" w:rsidP="007B478A">
            <w:pPr>
              <w:pStyle w:val="Prrafodelista"/>
              <w:numPr>
                <w:ilvl w:val="0"/>
                <w:numId w:val="32"/>
              </w:numPr>
              <w:spacing w:before="100" w:after="200" w:line="276" w:lineRule="auto"/>
              <w:jc w:val="both"/>
            </w:pPr>
            <w:r w:rsidRPr="009029DF">
              <w:t xml:space="preserve">Los documentos </w:t>
            </w:r>
            <w:r>
              <w:t xml:space="preserve">revisados </w:t>
            </w:r>
            <w:r w:rsidRPr="009029DF">
              <w:t>no identifican las necesidades de recursos humanos y materiales</w:t>
            </w:r>
            <w:r>
              <w:t>.</w:t>
            </w:r>
          </w:p>
          <w:p w14:paraId="26B8303F" w14:textId="77777777" w:rsidR="00E41932" w:rsidRDefault="00E41932" w:rsidP="00E41932">
            <w:pPr>
              <w:pStyle w:val="Prrafodelista"/>
              <w:numPr>
                <w:ilvl w:val="0"/>
                <w:numId w:val="32"/>
              </w:numPr>
              <w:spacing w:before="100" w:after="200" w:line="276" w:lineRule="auto"/>
              <w:jc w:val="both"/>
            </w:pPr>
            <w:r w:rsidRPr="009029DF">
              <w:t>Las normatividades federal y estatal no refieren la realización de diagnósticos (estableciendo características mínimas deseables como periodicidad, causalidad, etcétera), que pudieran servir como instrumentos para la planeación.</w:t>
            </w:r>
          </w:p>
          <w:p w14:paraId="031FBAA8" w14:textId="77777777" w:rsidR="00E41932" w:rsidRDefault="00E41932" w:rsidP="00E41932">
            <w:pPr>
              <w:pStyle w:val="Prrafodelista"/>
              <w:numPr>
                <w:ilvl w:val="0"/>
                <w:numId w:val="32"/>
              </w:numPr>
              <w:spacing w:before="100" w:after="200" w:line="276" w:lineRule="auto"/>
              <w:jc w:val="both"/>
            </w:pPr>
            <w:r>
              <w:t>Débil coordinación del área administrativa con las operativas, para la liberación del recurso destinado a los programas sustantivos.</w:t>
            </w:r>
          </w:p>
          <w:p w14:paraId="7348635E" w14:textId="77777777" w:rsidR="00E41932" w:rsidRDefault="00E41932" w:rsidP="00E41932">
            <w:pPr>
              <w:pStyle w:val="Prrafodelista"/>
              <w:numPr>
                <w:ilvl w:val="0"/>
                <w:numId w:val="32"/>
              </w:numPr>
              <w:spacing w:before="100" w:after="200" w:line="276" w:lineRule="auto"/>
              <w:jc w:val="both"/>
            </w:pPr>
            <w:r>
              <w:t xml:space="preserve">La matriz de indicadores del fondo, no integra temas que se deberían de considerar en atención al objetivo que busca alcanzar el FASSA. </w:t>
            </w:r>
          </w:p>
          <w:p w14:paraId="3B191106" w14:textId="77777777" w:rsidR="00E41932" w:rsidRDefault="00E41932" w:rsidP="00E41932">
            <w:pPr>
              <w:pStyle w:val="Prrafodelista"/>
              <w:numPr>
                <w:ilvl w:val="0"/>
                <w:numId w:val="32"/>
              </w:numPr>
              <w:spacing w:before="100" w:after="200" w:line="276" w:lineRule="auto"/>
              <w:jc w:val="both"/>
            </w:pPr>
            <w:r>
              <w:t>Falta de un método eficaz para calcular la cobertura estatal de los programas de atención a la salud.</w:t>
            </w:r>
          </w:p>
          <w:p w14:paraId="4BAEF81C" w14:textId="77777777" w:rsidR="00E41932" w:rsidRDefault="00E41932" w:rsidP="00E41932">
            <w:pPr>
              <w:pStyle w:val="Prrafodelista"/>
              <w:numPr>
                <w:ilvl w:val="0"/>
                <w:numId w:val="32"/>
              </w:numPr>
              <w:spacing w:before="100" w:after="200" w:line="276" w:lineRule="auto"/>
              <w:jc w:val="both"/>
            </w:pPr>
            <w:r>
              <w:t xml:space="preserve">Limitada coordinación de las instancias federales y estatales para establecer mecanismos eficaces de asignación de recursos y por consecuente el </w:t>
            </w:r>
            <w:r>
              <w:lastRenderedPageBreak/>
              <w:t xml:space="preserve">ejercicio del recurso en tiempo. </w:t>
            </w:r>
          </w:p>
          <w:p w14:paraId="1271175A" w14:textId="77777777" w:rsidR="00E41932" w:rsidRDefault="00E41932" w:rsidP="00E41932">
            <w:pPr>
              <w:pStyle w:val="Prrafodelista"/>
              <w:numPr>
                <w:ilvl w:val="0"/>
                <w:numId w:val="32"/>
              </w:numPr>
              <w:spacing w:before="100" w:after="200" w:line="276" w:lineRule="auto"/>
              <w:jc w:val="both"/>
            </w:pPr>
            <w:r>
              <w:t>Débil coordinación de las instancias federales y estatales para definir en conjunto los criterios de cobertura de los programas de atención a la salud en las entidades.</w:t>
            </w:r>
          </w:p>
          <w:p w14:paraId="17998E9F" w14:textId="77777777" w:rsidR="00E41932" w:rsidRDefault="00E41932" w:rsidP="00E41932">
            <w:pPr>
              <w:pStyle w:val="Prrafodelista"/>
              <w:numPr>
                <w:ilvl w:val="0"/>
                <w:numId w:val="32"/>
              </w:numPr>
              <w:spacing w:before="100" w:after="200" w:line="276" w:lineRule="auto"/>
              <w:jc w:val="both"/>
            </w:pPr>
            <w:r>
              <w:t>Desconocimiento de los métodos para definir la cobertura de los programas que reciben recursos del fondo.</w:t>
            </w:r>
          </w:p>
          <w:p w14:paraId="790122B4" w14:textId="230199BF" w:rsidR="00E41932" w:rsidRDefault="00E41932" w:rsidP="00E41932">
            <w:pPr>
              <w:pStyle w:val="Prrafodelista"/>
              <w:numPr>
                <w:ilvl w:val="0"/>
                <w:numId w:val="32"/>
              </w:numPr>
              <w:spacing w:before="100" w:after="200" w:line="276" w:lineRule="auto"/>
              <w:jc w:val="both"/>
            </w:pPr>
            <w:r>
              <w:t>Los recursos del FASSA se distribuyen en todos los conceptos de gasto para atender las necesidades de las cuatro sub-funciones de salud pese a concentrarse mayoritariamente en el financiamiento de servicios personales. Como consecuencia, los recursos se encuentran dispersos y ello dificulta el control sobre los recursos</w:t>
            </w:r>
            <w:r w:rsidR="00187361">
              <w:t>.</w:t>
            </w:r>
          </w:p>
          <w:p w14:paraId="3B9D5564" w14:textId="625B7D53" w:rsidR="00E41932" w:rsidRDefault="00E41932" w:rsidP="00E41932">
            <w:pPr>
              <w:pStyle w:val="Prrafodelista"/>
              <w:numPr>
                <w:ilvl w:val="0"/>
                <w:numId w:val="32"/>
              </w:numPr>
              <w:spacing w:before="100" w:after="200" w:line="276" w:lineRule="auto"/>
              <w:jc w:val="both"/>
            </w:pPr>
            <w:r>
              <w:t>Los medios de verificación y las fuentes de información no cuentan con las características necesarias de transparencia, es decir, carecen de una dirección electrónica o la dirección física en donde se encuentra la fuente de información y el medio de verificación.</w:t>
            </w:r>
          </w:p>
          <w:p w14:paraId="1DE1BCDD" w14:textId="20CBAACD" w:rsidR="00E41932" w:rsidRDefault="00E41932" w:rsidP="00E41932">
            <w:pPr>
              <w:pStyle w:val="Prrafodelista"/>
              <w:numPr>
                <w:ilvl w:val="0"/>
                <w:numId w:val="32"/>
              </w:numPr>
              <w:spacing w:before="100" w:after="200" w:line="276" w:lineRule="auto"/>
              <w:jc w:val="both"/>
            </w:pPr>
            <w:r>
              <w:t xml:space="preserve">La ausencia de diagnósticos de </w:t>
            </w:r>
            <w:r w:rsidRPr="009029DF">
              <w:t>recursos humanos y de infraestructura en el nivel de los componentes de gasto no permite identificar la consistencia y actualización.</w:t>
            </w:r>
          </w:p>
          <w:p w14:paraId="2D448C54" w14:textId="3A678D3A" w:rsidR="00E41932" w:rsidRPr="00E1388F" w:rsidRDefault="00E41932" w:rsidP="00CB572A">
            <w:pPr>
              <w:pStyle w:val="Prrafodelista"/>
              <w:numPr>
                <w:ilvl w:val="0"/>
                <w:numId w:val="32"/>
              </w:numPr>
              <w:spacing w:before="100" w:after="200" w:line="276" w:lineRule="auto"/>
              <w:jc w:val="both"/>
              <w:rPr>
                <w:rFonts w:eastAsia="Times New Roman"/>
                <w:color w:val="000000"/>
                <w:lang w:eastAsia="es-MX"/>
              </w:rPr>
            </w:pPr>
            <w:r w:rsidRPr="00CB74DA">
              <w:t>El acuerdo de descentralización no ha tenido actualizaciones desde el año en que se suscribió (2002).</w:t>
            </w:r>
          </w:p>
        </w:tc>
        <w:tc>
          <w:tcPr>
            <w:tcW w:w="4991" w:type="dxa"/>
            <w:vMerge w:val="restart"/>
            <w:shd w:val="clear" w:color="000000" w:fill="FFFFFF"/>
            <w:noWrap/>
            <w:hideMark/>
          </w:tcPr>
          <w:p w14:paraId="39C836ED" w14:textId="77777777" w:rsidR="00E1388F" w:rsidRPr="0076751A" w:rsidRDefault="00E1388F"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2.2.4 Amenazas:</w:t>
            </w:r>
            <w:r w:rsidR="00BF25EA" w:rsidRPr="0076751A">
              <w:rPr>
                <w:rFonts w:eastAsia="Times New Roman"/>
                <w:b/>
                <w:color w:val="000000"/>
                <w:lang w:eastAsia="es-MX"/>
              </w:rPr>
              <w:t xml:space="preserve"> </w:t>
            </w:r>
          </w:p>
          <w:p w14:paraId="50EFF5B8" w14:textId="52188C4C" w:rsidR="00E41932" w:rsidRDefault="00E41932" w:rsidP="00754766">
            <w:pPr>
              <w:pStyle w:val="Prrafodelista"/>
              <w:numPr>
                <w:ilvl w:val="0"/>
                <w:numId w:val="33"/>
              </w:numPr>
              <w:spacing w:before="100" w:after="200" w:line="276" w:lineRule="auto"/>
              <w:ind w:left="385" w:hanging="385"/>
              <w:jc w:val="both"/>
            </w:pPr>
            <w:r>
              <w:t>No posible identificar criterios consensuados respecto a lo que constituye una necesidad insatisfecha factible de atención. Esto puede permitir que se asignen discrecionalmente los recursos independientemente de los objetivos normativos del Fondo</w:t>
            </w:r>
            <w:r w:rsidR="00754766">
              <w:t>.</w:t>
            </w:r>
          </w:p>
          <w:p w14:paraId="20B26298" w14:textId="77777777" w:rsidR="00E41932" w:rsidRDefault="00E41932" w:rsidP="00754766">
            <w:pPr>
              <w:pStyle w:val="Prrafodelista"/>
              <w:numPr>
                <w:ilvl w:val="0"/>
                <w:numId w:val="33"/>
              </w:numPr>
              <w:spacing w:before="100" w:after="200" w:line="276" w:lineRule="auto"/>
              <w:ind w:left="385" w:hanging="385"/>
              <w:jc w:val="both"/>
            </w:pPr>
            <w:r>
              <w:t>La fuente de datos utilizada para calcular la cobertura de años anteriores no se considera la adecuada.</w:t>
            </w:r>
          </w:p>
          <w:p w14:paraId="3CC2A675" w14:textId="12CB2045" w:rsidR="00E41932" w:rsidRPr="00E41932" w:rsidRDefault="00E41932" w:rsidP="00754766">
            <w:pPr>
              <w:pStyle w:val="Prrafodelista"/>
              <w:numPr>
                <w:ilvl w:val="0"/>
                <w:numId w:val="33"/>
              </w:numPr>
              <w:spacing w:before="100" w:after="200" w:line="276" w:lineRule="auto"/>
              <w:ind w:left="385" w:hanging="385"/>
              <w:jc w:val="both"/>
              <w:rPr>
                <w:rFonts w:eastAsia="Times New Roman"/>
                <w:color w:val="000000"/>
                <w:lang w:eastAsia="es-MX"/>
              </w:rPr>
            </w:pPr>
            <w:r>
              <w:t>Recortes financieros destinados a los fondos y/o recursos, de acuerdo a políticas públicas nacionales</w:t>
            </w:r>
            <w:r w:rsidR="00754766">
              <w:t>.</w:t>
            </w:r>
          </w:p>
        </w:tc>
      </w:tr>
      <w:tr w:rsidR="00690BCC" w:rsidRPr="00E1388F" w14:paraId="219627AE" w14:textId="77777777" w:rsidTr="0076751A">
        <w:trPr>
          <w:trHeight w:val="555"/>
          <w:tblCellSpacing w:w="20" w:type="dxa"/>
        </w:trPr>
        <w:tc>
          <w:tcPr>
            <w:tcW w:w="5150" w:type="dxa"/>
            <w:vMerge/>
            <w:vAlign w:val="center"/>
            <w:hideMark/>
          </w:tcPr>
          <w:p w14:paraId="3C87A0D4" w14:textId="77777777"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14:paraId="3A31BFC1" w14:textId="77777777" w:rsidR="00E1388F" w:rsidRPr="00E1388F" w:rsidRDefault="00E1388F" w:rsidP="00E1388F">
            <w:pPr>
              <w:spacing w:after="0" w:line="240" w:lineRule="auto"/>
              <w:rPr>
                <w:rFonts w:eastAsia="Times New Roman"/>
                <w:color w:val="000000"/>
                <w:lang w:eastAsia="es-MX"/>
              </w:rPr>
            </w:pPr>
          </w:p>
        </w:tc>
      </w:tr>
      <w:tr w:rsidR="00690BCC" w:rsidRPr="00E1388F" w14:paraId="472554EB" w14:textId="77777777" w:rsidTr="0076751A">
        <w:trPr>
          <w:trHeight w:val="555"/>
          <w:tblCellSpacing w:w="20" w:type="dxa"/>
        </w:trPr>
        <w:tc>
          <w:tcPr>
            <w:tcW w:w="5150" w:type="dxa"/>
            <w:vMerge/>
            <w:vAlign w:val="center"/>
            <w:hideMark/>
          </w:tcPr>
          <w:p w14:paraId="187D0C84" w14:textId="77777777"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14:paraId="1055D050" w14:textId="77777777" w:rsidR="00E1388F" w:rsidRPr="00E1388F" w:rsidRDefault="00E1388F" w:rsidP="00E1388F">
            <w:pPr>
              <w:spacing w:after="0" w:line="240" w:lineRule="auto"/>
              <w:rPr>
                <w:rFonts w:eastAsia="Times New Roman"/>
                <w:color w:val="000000"/>
                <w:lang w:eastAsia="es-MX"/>
              </w:rPr>
            </w:pPr>
          </w:p>
        </w:tc>
      </w:tr>
      <w:tr w:rsidR="00690BCC" w:rsidRPr="00E1388F" w14:paraId="7F268585" w14:textId="77777777" w:rsidTr="0076751A">
        <w:trPr>
          <w:trHeight w:val="269"/>
          <w:tblCellSpacing w:w="20" w:type="dxa"/>
        </w:trPr>
        <w:tc>
          <w:tcPr>
            <w:tcW w:w="5150" w:type="dxa"/>
            <w:vMerge/>
            <w:vAlign w:val="center"/>
            <w:hideMark/>
          </w:tcPr>
          <w:p w14:paraId="7E379CA0" w14:textId="77777777"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14:paraId="36809D7D" w14:textId="77777777" w:rsidR="00E1388F" w:rsidRPr="00E1388F" w:rsidRDefault="00E1388F" w:rsidP="00E1388F">
            <w:pPr>
              <w:spacing w:after="0" w:line="240" w:lineRule="auto"/>
              <w:rPr>
                <w:rFonts w:eastAsia="Times New Roman"/>
                <w:color w:val="000000"/>
                <w:lang w:eastAsia="es-MX"/>
              </w:rPr>
            </w:pPr>
          </w:p>
        </w:tc>
      </w:tr>
    </w:tbl>
    <w:p w14:paraId="03DD399A" w14:textId="77777777" w:rsidR="0076751A" w:rsidRDefault="0076751A"/>
    <w:p w14:paraId="58F78D34" w14:textId="77777777" w:rsidR="0076751A" w:rsidRDefault="0076751A">
      <w:pPr>
        <w:spacing w:after="0" w:line="240" w:lineRule="auto"/>
      </w:pPr>
      <w:r>
        <w:br w:type="page"/>
      </w:r>
    </w:p>
    <w:tbl>
      <w:tblPr>
        <w:tblW w:w="1038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11"/>
      </w:tblGrid>
      <w:tr w:rsidR="00690BCC" w:rsidRPr="00E1388F" w14:paraId="5531A12E" w14:textId="77777777" w:rsidTr="00486961">
        <w:trPr>
          <w:trHeight w:val="300"/>
          <w:tblCellSpacing w:w="20" w:type="dxa"/>
        </w:trPr>
        <w:tc>
          <w:tcPr>
            <w:tcW w:w="10301" w:type="dxa"/>
            <w:shd w:val="clear" w:color="000000" w:fill="8B1D31"/>
            <w:noWrap/>
            <w:hideMark/>
          </w:tcPr>
          <w:p w14:paraId="2BF0EFF0" w14:textId="77777777"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lastRenderedPageBreak/>
              <w:t>3. Conclusiones y Recomendaciones de la Evaluación</w:t>
            </w:r>
          </w:p>
        </w:tc>
      </w:tr>
      <w:tr w:rsidR="00690BCC" w:rsidRPr="00E1388F" w14:paraId="48D8249F" w14:textId="77777777" w:rsidTr="00486961">
        <w:trPr>
          <w:trHeight w:val="405"/>
          <w:tblCellSpacing w:w="20" w:type="dxa"/>
        </w:trPr>
        <w:tc>
          <w:tcPr>
            <w:tcW w:w="10301" w:type="dxa"/>
            <w:shd w:val="clear" w:color="000000" w:fill="FFFFFF"/>
            <w:noWrap/>
            <w:hideMark/>
          </w:tcPr>
          <w:p w14:paraId="6C013720" w14:textId="4A39EDDD" w:rsidR="00843C4B" w:rsidRPr="0076751A" w:rsidRDefault="00E1388F" w:rsidP="0076751A">
            <w:pPr>
              <w:spacing w:line="240" w:lineRule="auto"/>
              <w:jc w:val="both"/>
              <w:rPr>
                <w:rFonts w:eastAsia="Times New Roman"/>
                <w:b/>
                <w:color w:val="000000"/>
                <w:lang w:eastAsia="es-MX"/>
              </w:rPr>
            </w:pPr>
            <w:r w:rsidRPr="0076751A">
              <w:rPr>
                <w:rFonts w:eastAsia="Times New Roman"/>
                <w:b/>
                <w:color w:val="000000"/>
                <w:lang w:eastAsia="es-MX"/>
              </w:rPr>
              <w:t xml:space="preserve">3.1 Describir </w:t>
            </w:r>
            <w:r w:rsidR="003B6721">
              <w:rPr>
                <w:rFonts w:eastAsia="Times New Roman"/>
                <w:b/>
                <w:color w:val="000000"/>
                <w:lang w:eastAsia="es-MX"/>
              </w:rPr>
              <w:t>b</w:t>
            </w:r>
            <w:r w:rsidRPr="0076751A">
              <w:rPr>
                <w:rFonts w:eastAsia="Times New Roman"/>
                <w:b/>
                <w:color w:val="000000"/>
                <w:lang w:eastAsia="es-MX"/>
              </w:rPr>
              <w:t>revemente las Conclusiones de la Evaluación:</w:t>
            </w:r>
            <w:r w:rsidR="00BF25EA" w:rsidRPr="0076751A">
              <w:rPr>
                <w:rFonts w:eastAsia="Times New Roman"/>
                <w:b/>
                <w:color w:val="000000"/>
                <w:lang w:eastAsia="es-MX"/>
              </w:rPr>
              <w:t xml:space="preserve"> </w:t>
            </w:r>
          </w:p>
          <w:p w14:paraId="05ACC987" w14:textId="77777777" w:rsidR="00E41932" w:rsidRDefault="00E41932" w:rsidP="00EC5A67">
            <w:pPr>
              <w:jc w:val="both"/>
            </w:pPr>
            <w:r>
              <w:t xml:space="preserve">Los objetivos principales de la evaluación fueron tres: </w:t>
            </w:r>
          </w:p>
          <w:p w14:paraId="50BC001B" w14:textId="2606FDE5" w:rsidR="00E41932" w:rsidRDefault="00E41932" w:rsidP="003B6721">
            <w:pPr>
              <w:pStyle w:val="Prrafodelista"/>
              <w:numPr>
                <w:ilvl w:val="0"/>
                <w:numId w:val="34"/>
              </w:numPr>
              <w:spacing w:before="100" w:after="200" w:line="276" w:lineRule="auto"/>
              <w:ind w:left="786" w:hanging="426"/>
              <w:jc w:val="both"/>
            </w:pPr>
            <w:r>
              <w:t>Validar</w:t>
            </w:r>
            <w:r w:rsidR="003B6721">
              <w:t xml:space="preserve"> </w:t>
            </w:r>
            <w:r>
              <w:t xml:space="preserve">las lógicas horizontal y vertical de los </w:t>
            </w:r>
            <w:r w:rsidR="003B6721">
              <w:t>p</w:t>
            </w:r>
            <w:r>
              <w:t xml:space="preserve">rogramas </w:t>
            </w:r>
            <w:r w:rsidR="003B6721">
              <w:t>p</w:t>
            </w:r>
            <w:r w:rsidR="00D50015">
              <w:t>resupuestarios,</w:t>
            </w:r>
            <w:r>
              <w:t xml:space="preserve"> así como su relación con las MIR de los Fondos del Ramo 33</w:t>
            </w:r>
            <w:r w:rsidR="003B6721">
              <w:t>;</w:t>
            </w:r>
          </w:p>
          <w:p w14:paraId="575CF143" w14:textId="40152864" w:rsidR="00E41932" w:rsidRDefault="00E41932" w:rsidP="003B6721">
            <w:pPr>
              <w:pStyle w:val="Prrafodelista"/>
              <w:numPr>
                <w:ilvl w:val="0"/>
                <w:numId w:val="34"/>
              </w:numPr>
              <w:spacing w:before="100" w:after="200" w:line="276" w:lineRule="auto"/>
              <w:ind w:left="786" w:hanging="426"/>
              <w:jc w:val="both"/>
            </w:pPr>
            <w:r>
              <w:t xml:space="preserve">Dimensionar el avance en el cumplimiento de metas establecidas de los programas presupuestarios con recursos del Ramo 33 y de las metas del fondo correspondiente </w:t>
            </w:r>
            <w:r w:rsidR="000950AD">
              <w:t>durante el ejercicio fiscal 2020</w:t>
            </w:r>
            <w:r w:rsidR="003B6721">
              <w:t>;</w:t>
            </w:r>
            <w:r>
              <w:t xml:space="preserve"> y </w:t>
            </w:r>
          </w:p>
          <w:p w14:paraId="23A06EEF" w14:textId="77777777" w:rsidR="00E41932" w:rsidRDefault="00E41932" w:rsidP="003B6721">
            <w:pPr>
              <w:pStyle w:val="Prrafodelista"/>
              <w:numPr>
                <w:ilvl w:val="0"/>
                <w:numId w:val="34"/>
              </w:numPr>
              <w:spacing w:before="100" w:after="200" w:line="276" w:lineRule="auto"/>
              <w:ind w:left="786" w:hanging="426"/>
              <w:jc w:val="both"/>
            </w:pPr>
            <w:r>
              <w:t xml:space="preserve">Determinar la evolución de la cobertura y el presupuesto de los programas para los ejercicios anuales anteriores. </w:t>
            </w:r>
          </w:p>
          <w:p w14:paraId="2D6DF746" w14:textId="282C5913" w:rsidR="00843C4B" w:rsidRDefault="00843C4B" w:rsidP="003B6721">
            <w:pPr>
              <w:jc w:val="both"/>
            </w:pPr>
            <w:r>
              <w:t xml:space="preserve">Sobre el análisis de la validez de la lógica vertical, en términos generales, se obtuvo que la mayoría de los objetivos que corresponden a cada uno de los niveles analizados en la evaluación – Fin, Propósito y Componentes-, cumplen parcialmente con los criterios de sintaxis, coherencia y claridad propuestos por la </w:t>
            </w:r>
            <w:r w:rsidRPr="00DE7BBE">
              <w:rPr>
                <w:i/>
                <w:iCs/>
              </w:rPr>
              <w:t xml:space="preserve">Guía para la Elaboración de la Matriz de Indicadores para Resultados del Coneval </w:t>
            </w:r>
            <w:r>
              <w:t>(2013). Además, no se analizó el nivel de actividades por no formar parte del objeto de estudio de esta evaluación, aunque estas sí son llevadas a cabo por la dependencia. En el caso de los Supuestos éstos no representan factores externos que deban cumplirse para el logro de los objetivos</w:t>
            </w:r>
            <w:r w:rsidR="003B6721">
              <w:t>,</w:t>
            </w:r>
            <w:r>
              <w:t xml:space="preserve"> </w:t>
            </w:r>
            <w:r w:rsidR="003B6721">
              <w:t>p</w:t>
            </w:r>
            <w:r>
              <w:t>or lo tanto</w:t>
            </w:r>
            <w:r w:rsidR="003B6721">
              <w:t xml:space="preserve">, </w:t>
            </w:r>
            <w:r>
              <w:t>aún pueden ser mejorados para validar con suficiencia la lógica vertical de los programas.</w:t>
            </w:r>
          </w:p>
          <w:p w14:paraId="6EB3FB6A" w14:textId="77777777" w:rsidR="00843C4B" w:rsidRDefault="00843C4B" w:rsidP="00EC5A67">
            <w:pPr>
              <w:jc w:val="both"/>
            </w:pPr>
            <w:r>
              <w:t xml:space="preserve">En cuanto a la validez de la lógica horizontal, se observó que la mayoría de los indicadores propuestos no resultaron ser pertinentes para medir el avance y cumplimiento de las metas u objetivos propuestos por los programas presupuestarios. Además, por lo general no cumplen con la sintaxis propuesta por el CONEVAL de mostrar una relación de dos variables que permitan hacer una comparación. Así, la lógica horizontal tampoco pudo ser validada. </w:t>
            </w:r>
          </w:p>
          <w:p w14:paraId="09C0FA30" w14:textId="77777777" w:rsidR="00843C4B" w:rsidRDefault="00843C4B" w:rsidP="00EC5A67">
            <w:pPr>
              <w:jc w:val="both"/>
            </w:pPr>
            <w:r>
              <w:t>Con relación al segundo objetivo, que corresponde al análisis de los avances para el cumplimiento de metas establecidas de los programas presupuestarios y de las metas del fondo correspondiente d</w:t>
            </w:r>
            <w:r w:rsidR="00882D61">
              <w:t>urante el ejercicio fiscal 2020</w:t>
            </w:r>
            <w:r>
              <w:t xml:space="preserve"> se identificó, por un lado, que las metas planteadas fueron logradas, incluso superaron el 100% de cumplimiento, sin embargo, algunos se quedaron por debajo de la meta o no se encontró información al respecto. Además, se observó que la mayoría de las unidades de medida refleja el logro efectivo de sus objetivos. </w:t>
            </w:r>
          </w:p>
          <w:p w14:paraId="6076CE60" w14:textId="28A32C76" w:rsidR="0062323D" w:rsidRPr="00843C4B" w:rsidRDefault="00843C4B" w:rsidP="003B6721">
            <w:pPr>
              <w:jc w:val="both"/>
            </w:pPr>
            <w:r>
              <w:t>Para el tercer objetivo se observó que, se carece de una definición suficiente de su población objetivo. Además, no se cuenta con información confiable sobre la cobertura real de la población atendida. Esto no permitió conocer la evolución de la cobertura de manera adecuada. En cuanto a la asignación histórica del presupuesto, se observó que algunos programas presupuestarios reflejan incr</w:t>
            </w:r>
            <w:r w:rsidR="00882D61">
              <w:t>ementos significativos para 2020</w:t>
            </w:r>
            <w:r>
              <w:t>.</w:t>
            </w:r>
          </w:p>
        </w:tc>
      </w:tr>
      <w:tr w:rsidR="00690BCC" w:rsidRPr="00E1388F" w14:paraId="0A92356E" w14:textId="77777777" w:rsidTr="00486961">
        <w:trPr>
          <w:trHeight w:val="390"/>
          <w:tblCellSpacing w:w="20" w:type="dxa"/>
        </w:trPr>
        <w:tc>
          <w:tcPr>
            <w:tcW w:w="10301" w:type="dxa"/>
            <w:shd w:val="clear" w:color="auto" w:fill="D9D9D9" w:themeFill="background1" w:themeFillShade="D9"/>
            <w:noWrap/>
            <w:hideMark/>
          </w:tcPr>
          <w:p w14:paraId="2701C93F" w14:textId="5EB27D4F"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3.</w:t>
            </w:r>
            <w:r w:rsidRPr="0076751A">
              <w:rPr>
                <w:rFonts w:eastAsia="Times New Roman"/>
                <w:b/>
                <w:color w:val="000000"/>
                <w:shd w:val="clear" w:color="auto" w:fill="D9D9D9" w:themeFill="background1" w:themeFillShade="D9"/>
                <w:lang w:eastAsia="es-MX"/>
              </w:rPr>
              <w:t>2 Describir las Recomendaciones de Acuerdo a su Relevancia</w:t>
            </w:r>
            <w:r w:rsidR="009A326D">
              <w:rPr>
                <w:rFonts w:eastAsia="Times New Roman"/>
                <w:b/>
                <w:color w:val="000000"/>
                <w:shd w:val="clear" w:color="auto" w:fill="D9D9D9" w:themeFill="background1" w:themeFillShade="D9"/>
                <w:lang w:eastAsia="es-MX"/>
              </w:rPr>
              <w:t>:</w:t>
            </w:r>
          </w:p>
        </w:tc>
      </w:tr>
      <w:tr w:rsidR="00690BCC" w:rsidRPr="00E1388F" w14:paraId="12CC484B" w14:textId="77777777" w:rsidTr="00486961">
        <w:trPr>
          <w:trHeight w:val="465"/>
          <w:tblCellSpacing w:w="20" w:type="dxa"/>
        </w:trPr>
        <w:tc>
          <w:tcPr>
            <w:tcW w:w="10301" w:type="dxa"/>
            <w:shd w:val="clear" w:color="000000" w:fill="FFFFFF"/>
            <w:noWrap/>
            <w:hideMark/>
          </w:tcPr>
          <w:p w14:paraId="261871A3" w14:textId="2FCDAFAD" w:rsidR="00E1388F" w:rsidRPr="00E1388F" w:rsidRDefault="00E1388F" w:rsidP="009A326D">
            <w:pPr>
              <w:spacing w:after="0" w:line="240" w:lineRule="auto"/>
              <w:jc w:val="both"/>
              <w:rPr>
                <w:rFonts w:eastAsia="Times New Roman"/>
                <w:color w:val="000000"/>
                <w:lang w:eastAsia="es-MX"/>
              </w:rPr>
            </w:pPr>
            <w:r w:rsidRPr="00E1388F">
              <w:rPr>
                <w:rFonts w:eastAsia="Times New Roman"/>
                <w:color w:val="000000"/>
                <w:lang w:eastAsia="es-MX"/>
              </w:rPr>
              <w:t>1:</w:t>
            </w:r>
            <w:r w:rsidR="00E41932">
              <w:rPr>
                <w:rFonts w:eastAsia="Times New Roman"/>
                <w:color w:val="000000"/>
                <w:lang w:eastAsia="es-MX"/>
              </w:rPr>
              <w:t xml:space="preserve"> </w:t>
            </w:r>
            <w:r w:rsidR="0062323D" w:rsidRPr="0062323D">
              <w:t xml:space="preserve">Elaborar un diagnóstico oficial del FASSA a nivel estatal, </w:t>
            </w:r>
            <w:r w:rsidR="00877541">
              <w:t>de acuerdo con las especificaciones del documento titulado “Aspectos a considerar para la elaboración del diagnóstico de los programas presupuestar</w:t>
            </w:r>
            <w:r w:rsidR="009A326D">
              <w:t>i</w:t>
            </w:r>
            <w:r w:rsidR="00877541">
              <w:t xml:space="preserve">os de nueva </w:t>
            </w:r>
            <w:r w:rsidR="00877541">
              <w:lastRenderedPageBreak/>
              <w:t xml:space="preserve">creación o con cambios sustanciales que se propongan incluir en la estructura programática del presupuesto de Egresos de la Federación” </w:t>
            </w:r>
            <w:r w:rsidR="009A326D">
              <w:t>e</w:t>
            </w:r>
            <w:r w:rsidR="00877541">
              <w:t>mitido</w:t>
            </w:r>
            <w:r w:rsidR="009A326D">
              <w:t>s</w:t>
            </w:r>
            <w:r w:rsidR="00877541">
              <w:t xml:space="preserve"> por la SHCP y CONEVAL, </w:t>
            </w:r>
            <w:r w:rsidR="0062323D" w:rsidRPr="0062323D">
              <w:t xml:space="preserve">en el que se tome como base el siguiente problema que atiende el FASSA en Sinaloa: “los servicios de Salud del estado de Sinaloa enfrentan dificultades financieras que les impiden operar de manera eficaz y eficiente”, una referencia que podría tomarse en cuenta para elaborar este diagnóstico es el Plan Operativo Anual (POA) del fondo, pues en este ya se incluyen elementos considerados en el documento de aspectos, como son Árbol del </w:t>
            </w:r>
            <w:r w:rsidR="009A326D">
              <w:t>P</w:t>
            </w:r>
            <w:r w:rsidR="0062323D" w:rsidRPr="0062323D">
              <w:t xml:space="preserve">roblema, Árbol de </w:t>
            </w:r>
            <w:r w:rsidR="009A326D">
              <w:t>O</w:t>
            </w:r>
            <w:r w:rsidR="0062323D" w:rsidRPr="0062323D">
              <w:t>bjetivos, Alternativas t MIR, el valor añadido del diagnóstico recomendado es que sería un documento más completo y claro en cuanto a la población o áreas de enfoque que atiende el FASSA.</w:t>
            </w:r>
          </w:p>
        </w:tc>
      </w:tr>
      <w:tr w:rsidR="00690BCC" w:rsidRPr="00E1388F" w14:paraId="4D93F108" w14:textId="77777777" w:rsidTr="00486961">
        <w:trPr>
          <w:trHeight w:val="465"/>
          <w:tblCellSpacing w:w="20" w:type="dxa"/>
        </w:trPr>
        <w:tc>
          <w:tcPr>
            <w:tcW w:w="10301" w:type="dxa"/>
            <w:shd w:val="clear" w:color="000000" w:fill="FFFFFF"/>
            <w:noWrap/>
            <w:hideMark/>
          </w:tcPr>
          <w:p w14:paraId="41FE2310" w14:textId="43DFBA91"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lastRenderedPageBreak/>
              <w:t>2:</w:t>
            </w:r>
            <w:r w:rsidR="00E41932">
              <w:rPr>
                <w:rFonts w:eastAsia="Times New Roman"/>
                <w:color w:val="000000"/>
                <w:lang w:eastAsia="es-MX"/>
              </w:rPr>
              <w:t xml:space="preserve"> </w:t>
            </w:r>
            <w:r w:rsidR="0062323D" w:rsidRPr="0062323D">
              <w:t>Elaborar e implementar una MIR propia del FASSA a nivel estatal, de acuerdo con lo establecido en las guías emitidas por el CONEVAL y por la SHCP, donde se establezca claramente su propósito como el siguiente: “Los Servicios de Salud de Sinaloa superan las dificultades financieras para operar de manera eficaz y eficiente”, y que este propósito contribuya a un fin explícitamente alineado al programa sectorial correspondiente. Para ello se puede consultar o tomar en cuenta la MIR Federal del FASSA, pero no limitarse a ella, de modo que la MIR Estatal pueda brindar información precisa de la gestión y de los resultados de este fondo en Sinaloa. Esta MIR debe de contar con fichas técnicas de indicadores completas para cada uno de los niveles de objetivos y estas fichas deben contener métodos de cálculo coherentes matemáticamente e información clara y suficiente al respecto de las líneas base y metas temporales, metas que deben presentar un reto y factibles de alcanzarse.</w:t>
            </w:r>
          </w:p>
        </w:tc>
      </w:tr>
      <w:tr w:rsidR="00690BCC" w:rsidRPr="00E1388F" w14:paraId="77127B31" w14:textId="77777777" w:rsidTr="00486961">
        <w:trPr>
          <w:trHeight w:val="465"/>
          <w:tblCellSpacing w:w="20" w:type="dxa"/>
        </w:trPr>
        <w:tc>
          <w:tcPr>
            <w:tcW w:w="10301" w:type="dxa"/>
            <w:shd w:val="clear" w:color="000000" w:fill="FFFFFF"/>
            <w:noWrap/>
            <w:hideMark/>
          </w:tcPr>
          <w:p w14:paraId="3F92A00A" w14:textId="31D7E40D" w:rsidR="00E1388F" w:rsidRPr="00E1388F" w:rsidRDefault="00E1388F" w:rsidP="00594325">
            <w:pPr>
              <w:spacing w:after="0" w:line="240" w:lineRule="auto"/>
              <w:jc w:val="both"/>
              <w:rPr>
                <w:rFonts w:eastAsia="Times New Roman"/>
                <w:color w:val="000000"/>
                <w:lang w:eastAsia="es-MX"/>
              </w:rPr>
            </w:pPr>
            <w:r w:rsidRPr="00E1388F">
              <w:rPr>
                <w:rFonts w:eastAsia="Times New Roman"/>
                <w:color w:val="000000"/>
                <w:lang w:eastAsia="es-MX"/>
              </w:rPr>
              <w:t>3:</w:t>
            </w:r>
            <w:r w:rsidR="00E41932">
              <w:rPr>
                <w:rFonts w:eastAsia="Times New Roman"/>
                <w:color w:val="000000"/>
                <w:lang w:eastAsia="es-MX"/>
              </w:rPr>
              <w:t xml:space="preserve"> </w:t>
            </w:r>
            <w:r w:rsidR="0062323D" w:rsidRPr="0062323D">
              <w:t>Crear un catálogo de servicios, programas e instancias de salud susceptibles de recibir financiamiento con recursos del FASSA. La creación de este catálogo permitirá un seguimiento más puntual del destino que tiene el fo</w:t>
            </w:r>
            <w:r w:rsidR="00594325">
              <w:t>ndo en la entidad y sería un (Símil</w:t>
            </w:r>
            <w:r w:rsidR="0062323D" w:rsidRPr="0062323D">
              <w:t>) de un padrón de beneficiarios. En este sentido</w:t>
            </w:r>
            <w:r w:rsidR="00A728B1">
              <w:t>,</w:t>
            </w:r>
            <w:r w:rsidR="0062323D" w:rsidRPr="0062323D">
              <w:t xml:space="preserve"> </w:t>
            </w:r>
            <w:r w:rsidR="00A728B1">
              <w:t>s</w:t>
            </w:r>
            <w:r w:rsidR="0062323D" w:rsidRPr="0062323D">
              <w:t xml:space="preserve">e recomienda también establecer criterios de sistematización de información de las unidades médicas, establecimientos de </w:t>
            </w:r>
            <w:r w:rsidR="00A728B1">
              <w:t>s</w:t>
            </w:r>
            <w:r w:rsidR="0062323D" w:rsidRPr="0062323D">
              <w:t>alud, servicios y programas beneficiados directamente con el FASSA, a fin de conocer las demandas y necesidades que pudieran presentar y que justifiquen la asignación de recursos transferidos, con ello, se podría conocer la demanda de los recursos del FASSA.</w:t>
            </w:r>
          </w:p>
        </w:tc>
      </w:tr>
      <w:tr w:rsidR="00690BCC" w:rsidRPr="00E1388F" w14:paraId="5D9EC570" w14:textId="77777777" w:rsidTr="00486961">
        <w:trPr>
          <w:trHeight w:val="465"/>
          <w:tblCellSpacing w:w="20" w:type="dxa"/>
        </w:trPr>
        <w:tc>
          <w:tcPr>
            <w:tcW w:w="10301" w:type="dxa"/>
            <w:shd w:val="clear" w:color="000000" w:fill="FFFFFF"/>
            <w:noWrap/>
            <w:hideMark/>
          </w:tcPr>
          <w:p w14:paraId="1B0D05A8" w14:textId="41A77F4A"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4:</w:t>
            </w:r>
            <w:r w:rsidR="00E41932">
              <w:rPr>
                <w:rFonts w:eastAsia="Times New Roman"/>
                <w:color w:val="000000"/>
                <w:lang w:eastAsia="es-MX"/>
              </w:rPr>
              <w:t xml:space="preserve"> </w:t>
            </w:r>
            <w:r w:rsidR="0062323D">
              <w:t>Se busque generar o fortalecer los mecanismos formales de coordinación y complementación de esfuerzos entre los diferentes programas complementarios o coincidentes del FASSA, así como detectar posibles áreas de traslape, posibles duplicidades o espacios desatendidos po</w:t>
            </w:r>
            <w:r w:rsidR="00A728B1">
              <w:t>r</w:t>
            </w:r>
            <w:r w:rsidR="0062323D">
              <w:t xml:space="preserve"> las finanzas públicas estatales en materia de salud.</w:t>
            </w:r>
          </w:p>
        </w:tc>
      </w:tr>
      <w:tr w:rsidR="0062323D" w:rsidRPr="00E1388F" w14:paraId="0FA2ECDD" w14:textId="77777777" w:rsidTr="00486961">
        <w:trPr>
          <w:trHeight w:val="465"/>
          <w:tblCellSpacing w:w="20" w:type="dxa"/>
        </w:trPr>
        <w:tc>
          <w:tcPr>
            <w:tcW w:w="10301" w:type="dxa"/>
            <w:shd w:val="clear" w:color="000000" w:fill="FFFFFF"/>
            <w:noWrap/>
          </w:tcPr>
          <w:p w14:paraId="2F093780" w14:textId="76241149" w:rsidR="0062323D" w:rsidRPr="00E1388F" w:rsidRDefault="0062323D" w:rsidP="00EC5A67">
            <w:pPr>
              <w:spacing w:after="0" w:line="240" w:lineRule="auto"/>
              <w:jc w:val="both"/>
              <w:rPr>
                <w:rFonts w:eastAsia="Times New Roman"/>
                <w:color w:val="000000"/>
                <w:lang w:eastAsia="es-MX"/>
              </w:rPr>
            </w:pPr>
            <w:r>
              <w:rPr>
                <w:rFonts w:eastAsia="Times New Roman"/>
                <w:color w:val="000000"/>
                <w:lang w:eastAsia="es-MX"/>
              </w:rPr>
              <w:t xml:space="preserve">5: </w:t>
            </w:r>
            <w:r w:rsidRPr="0062323D">
              <w:rPr>
                <w:rFonts w:eastAsia="Times New Roman"/>
                <w:color w:val="000000"/>
                <w:lang w:eastAsia="es-MX"/>
              </w:rPr>
              <w:t xml:space="preserve">Se recomienda ir más allá del Mecanismo de Seguimiento de </w:t>
            </w:r>
            <w:r w:rsidR="00A728B1">
              <w:rPr>
                <w:rFonts w:eastAsia="Times New Roman"/>
                <w:color w:val="000000"/>
                <w:lang w:eastAsia="es-MX"/>
              </w:rPr>
              <w:t xml:space="preserve">los </w:t>
            </w:r>
            <w:r w:rsidRPr="0062323D">
              <w:rPr>
                <w:rFonts w:eastAsia="Times New Roman"/>
                <w:color w:val="000000"/>
                <w:lang w:eastAsia="es-MX"/>
              </w:rPr>
              <w:t xml:space="preserve">ASM y utilizar los hallazgos derivados de evaluaciones para las decisiones estratégicas y operativas al FASSA, así como generar evidencia del ello. Estos hallazgos pueden emplearse para las decisiones presupuestarias y de cambios o mejoras en la gestión de los recursos del FASSA, así como también se recomienda dar seguimiento más puntual al cumplimiento de los ASM mediante evidencia que sustente los </w:t>
            </w:r>
            <w:r w:rsidR="00486961">
              <w:rPr>
                <w:rFonts w:eastAsia="Times New Roman"/>
                <w:color w:val="000000"/>
                <w:lang w:eastAsia="es-MX"/>
              </w:rPr>
              <w:t>a</w:t>
            </w:r>
            <w:r w:rsidRPr="0062323D">
              <w:rPr>
                <w:rFonts w:eastAsia="Times New Roman"/>
                <w:color w:val="000000"/>
                <w:lang w:eastAsia="es-MX"/>
              </w:rPr>
              <w:t>nexos de atención.</w:t>
            </w:r>
          </w:p>
        </w:tc>
      </w:tr>
    </w:tbl>
    <w:p w14:paraId="47B9C9B4" w14:textId="77777777" w:rsidR="00486961" w:rsidRDefault="00486961"/>
    <w:tbl>
      <w:tblPr>
        <w:tblW w:w="1038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339"/>
        <w:gridCol w:w="1813"/>
        <w:gridCol w:w="98"/>
        <w:gridCol w:w="246"/>
        <w:gridCol w:w="515"/>
        <w:gridCol w:w="747"/>
        <w:gridCol w:w="782"/>
        <w:gridCol w:w="4901"/>
      </w:tblGrid>
      <w:tr w:rsidR="00690BCC" w:rsidRPr="00E1388F" w14:paraId="6CAE4FFB" w14:textId="77777777" w:rsidTr="00486961">
        <w:trPr>
          <w:trHeight w:val="300"/>
          <w:tblCellSpacing w:w="20" w:type="dxa"/>
        </w:trPr>
        <w:tc>
          <w:tcPr>
            <w:tcW w:w="10301" w:type="dxa"/>
            <w:gridSpan w:val="8"/>
            <w:shd w:val="clear" w:color="000000" w:fill="8B1D31"/>
            <w:noWrap/>
            <w:hideMark/>
          </w:tcPr>
          <w:p w14:paraId="78659912" w14:textId="77777777" w:rsidR="00E1388F" w:rsidRPr="00E1388F" w:rsidRDefault="00E1388F" w:rsidP="00E1388F">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EC63B6" w:rsidRPr="00E1388F" w14:paraId="004ED275" w14:textId="77777777" w:rsidTr="00486961">
        <w:trPr>
          <w:trHeight w:val="289"/>
          <w:tblCellSpacing w:w="20" w:type="dxa"/>
        </w:trPr>
        <w:tc>
          <w:tcPr>
            <w:tcW w:w="4668" w:type="dxa"/>
            <w:gridSpan w:val="6"/>
            <w:shd w:val="clear" w:color="000000" w:fill="FFFFFF"/>
            <w:noWrap/>
            <w:vAlign w:val="bottom"/>
            <w:hideMark/>
          </w:tcPr>
          <w:p w14:paraId="763F478B" w14:textId="77777777" w:rsidR="00EC63B6" w:rsidRPr="0076751A" w:rsidRDefault="00EC63B6" w:rsidP="00690BCC">
            <w:pPr>
              <w:spacing w:after="0" w:line="240" w:lineRule="auto"/>
              <w:rPr>
                <w:rFonts w:eastAsia="Times New Roman"/>
                <w:b/>
                <w:color w:val="000000"/>
                <w:lang w:eastAsia="es-MX"/>
              </w:rPr>
            </w:pPr>
            <w:r w:rsidRPr="0076751A">
              <w:rPr>
                <w:rFonts w:eastAsia="Times New Roman"/>
                <w:b/>
                <w:color w:val="000000"/>
                <w:lang w:eastAsia="es-MX"/>
              </w:rPr>
              <w:t>4.1 Nombre del Coordinador de la Evaluación:</w:t>
            </w:r>
          </w:p>
        </w:tc>
        <w:tc>
          <w:tcPr>
            <w:tcW w:w="5593" w:type="dxa"/>
            <w:gridSpan w:val="2"/>
            <w:shd w:val="clear" w:color="000000" w:fill="FFFFFF"/>
            <w:noWrap/>
            <w:hideMark/>
          </w:tcPr>
          <w:p w14:paraId="74A886F8" w14:textId="77777777" w:rsidR="00EC63B6" w:rsidRPr="00E1388F" w:rsidRDefault="00843C4B" w:rsidP="00EC63B6">
            <w:pPr>
              <w:tabs>
                <w:tab w:val="left" w:pos="5350"/>
              </w:tabs>
              <w:spacing w:after="0" w:line="240" w:lineRule="auto"/>
              <w:ind w:right="526"/>
              <w:rPr>
                <w:rFonts w:eastAsia="Times New Roman"/>
                <w:color w:val="000000"/>
                <w:lang w:eastAsia="es-MX"/>
              </w:rPr>
            </w:pPr>
            <w:r>
              <w:rPr>
                <w:rFonts w:eastAsia="Times New Roman"/>
                <w:color w:val="000000"/>
                <w:lang w:eastAsia="es-MX"/>
              </w:rPr>
              <w:t>C.P.C. Francisco Javier Ames Cebreros</w:t>
            </w:r>
          </w:p>
        </w:tc>
      </w:tr>
      <w:tr w:rsidR="00EC63B6" w:rsidRPr="00E1388F" w14:paraId="345CDD8C" w14:textId="77777777" w:rsidTr="00486961">
        <w:trPr>
          <w:trHeight w:val="360"/>
          <w:tblCellSpacing w:w="20" w:type="dxa"/>
        </w:trPr>
        <w:tc>
          <w:tcPr>
            <w:tcW w:w="1249" w:type="dxa"/>
            <w:shd w:val="clear" w:color="000000" w:fill="FFFFFF"/>
            <w:noWrap/>
            <w:hideMark/>
          </w:tcPr>
          <w:p w14:paraId="6AEC7771"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4.2 Cargo:</w:t>
            </w:r>
          </w:p>
        </w:tc>
        <w:tc>
          <w:tcPr>
            <w:tcW w:w="9012" w:type="dxa"/>
            <w:gridSpan w:val="7"/>
            <w:shd w:val="clear" w:color="000000" w:fill="FFFFFF"/>
            <w:noWrap/>
            <w:hideMark/>
          </w:tcPr>
          <w:p w14:paraId="0CAF18F3" w14:textId="77777777" w:rsidR="00E1388F" w:rsidRPr="00E1388F" w:rsidRDefault="00843C4B" w:rsidP="00843C4B">
            <w:pPr>
              <w:spacing w:after="0" w:line="240" w:lineRule="auto"/>
              <w:rPr>
                <w:rFonts w:eastAsia="Times New Roman"/>
                <w:color w:val="000000"/>
                <w:lang w:eastAsia="es-MX"/>
              </w:rPr>
            </w:pPr>
            <w:r>
              <w:rPr>
                <w:rFonts w:eastAsia="Times New Roman"/>
                <w:color w:val="000000"/>
                <w:lang w:eastAsia="es-MX"/>
              </w:rPr>
              <w:t xml:space="preserve">Director General </w:t>
            </w:r>
          </w:p>
        </w:tc>
      </w:tr>
      <w:tr w:rsidR="00EC63B6" w:rsidRPr="00E1388F" w14:paraId="740FC574" w14:textId="77777777" w:rsidTr="00486961">
        <w:trPr>
          <w:trHeight w:val="375"/>
          <w:tblCellSpacing w:w="20" w:type="dxa"/>
        </w:trPr>
        <w:tc>
          <w:tcPr>
            <w:tcW w:w="3406" w:type="dxa"/>
            <w:gridSpan w:val="4"/>
            <w:shd w:val="clear" w:color="000000" w:fill="FFFFFF"/>
            <w:noWrap/>
            <w:hideMark/>
          </w:tcPr>
          <w:p w14:paraId="69AC1155"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4.3 Institución a la que Pertenece:</w:t>
            </w:r>
          </w:p>
        </w:tc>
        <w:tc>
          <w:tcPr>
            <w:tcW w:w="6855" w:type="dxa"/>
            <w:gridSpan w:val="4"/>
            <w:shd w:val="clear" w:color="000000" w:fill="FFFFFF"/>
            <w:noWrap/>
            <w:hideMark/>
          </w:tcPr>
          <w:p w14:paraId="0921E30B" w14:textId="77777777" w:rsidR="00E1388F" w:rsidRPr="00E1388F" w:rsidRDefault="00843C4B" w:rsidP="003E6E57">
            <w:pPr>
              <w:spacing w:after="0" w:line="240" w:lineRule="auto"/>
              <w:rPr>
                <w:rFonts w:eastAsia="Times New Roman"/>
                <w:color w:val="000000"/>
                <w:lang w:eastAsia="es-MX"/>
              </w:rPr>
            </w:pPr>
            <w:r>
              <w:rPr>
                <w:rFonts w:eastAsia="Times New Roman"/>
                <w:color w:val="000000"/>
                <w:lang w:eastAsia="es-MX"/>
              </w:rPr>
              <w:t xml:space="preserve">Chávez, Ames y </w:t>
            </w:r>
            <w:proofErr w:type="spellStart"/>
            <w:r>
              <w:rPr>
                <w:rFonts w:eastAsia="Times New Roman"/>
                <w:color w:val="000000"/>
                <w:lang w:eastAsia="es-MX"/>
              </w:rPr>
              <w:t>Cía</w:t>
            </w:r>
            <w:proofErr w:type="spellEnd"/>
            <w:r>
              <w:rPr>
                <w:rFonts w:eastAsia="Times New Roman"/>
                <w:color w:val="000000"/>
                <w:lang w:eastAsia="es-MX"/>
              </w:rPr>
              <w:t>, S.C.</w:t>
            </w:r>
          </w:p>
        </w:tc>
      </w:tr>
      <w:tr w:rsidR="00EC63B6" w:rsidRPr="00E1388F" w14:paraId="01A8EF23" w14:textId="77777777" w:rsidTr="00486961">
        <w:trPr>
          <w:trHeight w:val="345"/>
          <w:tblCellSpacing w:w="20" w:type="dxa"/>
        </w:trPr>
        <w:tc>
          <w:tcPr>
            <w:tcW w:w="3062" w:type="dxa"/>
            <w:gridSpan w:val="2"/>
            <w:shd w:val="clear" w:color="000000" w:fill="FFFFFF"/>
            <w:noWrap/>
            <w:hideMark/>
          </w:tcPr>
          <w:p w14:paraId="1C16F6A4"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4.4 Principales Colaboradores:</w:t>
            </w:r>
          </w:p>
        </w:tc>
        <w:tc>
          <w:tcPr>
            <w:tcW w:w="7199" w:type="dxa"/>
            <w:gridSpan w:val="6"/>
            <w:shd w:val="clear" w:color="000000" w:fill="FFFFFF"/>
            <w:noWrap/>
            <w:hideMark/>
          </w:tcPr>
          <w:p w14:paraId="3800C307" w14:textId="77777777" w:rsidR="00E1388F" w:rsidRDefault="00843C4B" w:rsidP="003E6E57">
            <w:pPr>
              <w:spacing w:after="0" w:line="240" w:lineRule="auto"/>
              <w:rPr>
                <w:rFonts w:eastAsia="Times New Roman"/>
                <w:color w:val="000000"/>
                <w:lang w:eastAsia="es-MX"/>
              </w:rPr>
            </w:pPr>
            <w:r>
              <w:rPr>
                <w:rFonts w:eastAsia="Times New Roman"/>
                <w:color w:val="000000"/>
                <w:lang w:eastAsia="es-MX"/>
              </w:rPr>
              <w:t xml:space="preserve">Ing. Emilio </w:t>
            </w:r>
            <w:r w:rsidR="00882D61">
              <w:rPr>
                <w:rFonts w:eastAsia="Times New Roman"/>
                <w:color w:val="000000"/>
                <w:lang w:eastAsia="es-MX"/>
              </w:rPr>
              <w:t>Hernández</w:t>
            </w:r>
            <w:r>
              <w:rPr>
                <w:rFonts w:eastAsia="Times New Roman"/>
                <w:color w:val="000000"/>
                <w:lang w:eastAsia="es-MX"/>
              </w:rPr>
              <w:t xml:space="preserve"> Sandoval (recopilación de Información y redacción de </w:t>
            </w:r>
            <w:r>
              <w:rPr>
                <w:rFonts w:eastAsia="Times New Roman"/>
                <w:color w:val="000000"/>
                <w:lang w:eastAsia="es-MX"/>
              </w:rPr>
              <w:lastRenderedPageBreak/>
              <w:t>informe)</w:t>
            </w:r>
          </w:p>
          <w:p w14:paraId="1046A808" w14:textId="77777777" w:rsidR="00843C4B" w:rsidRPr="00E1388F" w:rsidRDefault="00843C4B" w:rsidP="00C02F24">
            <w:pPr>
              <w:spacing w:after="0" w:line="240" w:lineRule="auto"/>
              <w:rPr>
                <w:rFonts w:eastAsia="Times New Roman"/>
                <w:color w:val="000000"/>
                <w:lang w:eastAsia="es-MX"/>
              </w:rPr>
            </w:pPr>
            <w:r>
              <w:rPr>
                <w:rFonts w:eastAsia="Times New Roman"/>
                <w:color w:val="000000"/>
                <w:lang w:eastAsia="es-MX"/>
              </w:rPr>
              <w:t xml:space="preserve">Lic. Fernando Zamudio Trujillo(Recopilación de información y </w:t>
            </w:r>
            <w:r w:rsidR="00C02F24">
              <w:rPr>
                <w:rFonts w:eastAsia="Times New Roman"/>
                <w:color w:val="000000"/>
                <w:lang w:eastAsia="es-MX"/>
              </w:rPr>
              <w:t>cuestionario</w:t>
            </w:r>
            <w:r>
              <w:rPr>
                <w:rFonts w:eastAsia="Times New Roman"/>
                <w:color w:val="000000"/>
                <w:lang w:eastAsia="es-MX"/>
              </w:rPr>
              <w:t>)</w:t>
            </w:r>
          </w:p>
        </w:tc>
      </w:tr>
      <w:tr w:rsidR="00EC63B6" w:rsidRPr="00E1388F" w14:paraId="0C77A102" w14:textId="77777777" w:rsidTr="00486961">
        <w:trPr>
          <w:trHeight w:val="360"/>
          <w:tblCellSpacing w:w="20" w:type="dxa"/>
        </w:trPr>
        <w:tc>
          <w:tcPr>
            <w:tcW w:w="5450" w:type="dxa"/>
            <w:gridSpan w:val="7"/>
            <w:shd w:val="clear" w:color="000000" w:fill="FFFFFF"/>
            <w:noWrap/>
            <w:hideMark/>
          </w:tcPr>
          <w:p w14:paraId="48EAB5FB" w14:textId="77777777" w:rsidR="00690BCC" w:rsidRPr="0076751A" w:rsidRDefault="00690BCC" w:rsidP="00690BCC">
            <w:pPr>
              <w:spacing w:after="0" w:line="240" w:lineRule="auto"/>
              <w:ind w:right="-212"/>
              <w:rPr>
                <w:rFonts w:eastAsia="Times New Roman"/>
                <w:b/>
                <w:color w:val="000000"/>
                <w:lang w:eastAsia="es-MX"/>
              </w:rPr>
            </w:pPr>
            <w:r w:rsidRPr="0076751A">
              <w:rPr>
                <w:rFonts w:eastAsia="Times New Roman"/>
                <w:b/>
                <w:color w:val="000000"/>
                <w:lang w:eastAsia="es-MX"/>
              </w:rPr>
              <w:lastRenderedPageBreak/>
              <w:t>4.5 Correo Electrónico del Coordinador de la Evaluación:</w:t>
            </w:r>
          </w:p>
        </w:tc>
        <w:tc>
          <w:tcPr>
            <w:tcW w:w="4811" w:type="dxa"/>
            <w:shd w:val="clear" w:color="000000" w:fill="FFFFFF"/>
            <w:noWrap/>
            <w:hideMark/>
          </w:tcPr>
          <w:p w14:paraId="6F5434B9" w14:textId="60B80D29" w:rsidR="00690BCC" w:rsidRPr="00E1388F" w:rsidRDefault="00D36A8B" w:rsidP="00EB1802">
            <w:pPr>
              <w:spacing w:after="0" w:line="240" w:lineRule="auto"/>
              <w:rPr>
                <w:rFonts w:eastAsia="Times New Roman"/>
                <w:color w:val="000000"/>
                <w:lang w:eastAsia="es-MX"/>
              </w:rPr>
            </w:pPr>
            <w:hyperlink r:id="rId9" w:history="1">
              <w:r w:rsidR="0076751A" w:rsidRPr="00401E76">
                <w:rPr>
                  <w:rStyle w:val="Hipervnculo"/>
                  <w:rFonts w:eastAsia="Times New Roman"/>
                  <w:lang w:eastAsia="es-MX"/>
                </w:rPr>
                <w:t>ames@mgichavezames.com</w:t>
              </w:r>
            </w:hyperlink>
            <w:r w:rsidR="0076751A">
              <w:rPr>
                <w:rFonts w:eastAsia="Times New Roman"/>
                <w:color w:val="000000"/>
                <w:lang w:eastAsia="es-MX"/>
              </w:rPr>
              <w:t xml:space="preserve"> </w:t>
            </w:r>
          </w:p>
        </w:tc>
      </w:tr>
      <w:tr w:rsidR="00EC63B6" w:rsidRPr="00E1388F" w14:paraId="6965C255" w14:textId="77777777" w:rsidTr="00486961">
        <w:trPr>
          <w:trHeight w:val="390"/>
          <w:tblCellSpacing w:w="20" w:type="dxa"/>
        </w:trPr>
        <w:tc>
          <w:tcPr>
            <w:tcW w:w="3160" w:type="dxa"/>
            <w:gridSpan w:val="3"/>
            <w:shd w:val="clear" w:color="000000" w:fill="FFFFFF"/>
            <w:noWrap/>
            <w:hideMark/>
          </w:tcPr>
          <w:p w14:paraId="646890AF" w14:textId="77777777" w:rsidR="00EC63B6" w:rsidRPr="0076751A" w:rsidRDefault="00EC63B6" w:rsidP="00E1388F">
            <w:pPr>
              <w:spacing w:after="0" w:line="240" w:lineRule="auto"/>
              <w:rPr>
                <w:rFonts w:eastAsia="Times New Roman"/>
                <w:b/>
                <w:color w:val="000000"/>
                <w:lang w:eastAsia="es-MX"/>
              </w:rPr>
            </w:pPr>
            <w:r w:rsidRPr="0076751A">
              <w:rPr>
                <w:rFonts w:eastAsia="Times New Roman"/>
                <w:b/>
                <w:color w:val="000000"/>
                <w:lang w:eastAsia="es-MX"/>
              </w:rPr>
              <w:t>4.6 Teléfono (con clave lada):</w:t>
            </w:r>
          </w:p>
        </w:tc>
        <w:tc>
          <w:tcPr>
            <w:tcW w:w="721" w:type="dxa"/>
            <w:gridSpan w:val="2"/>
            <w:shd w:val="clear" w:color="000000" w:fill="FFFFFF"/>
          </w:tcPr>
          <w:p w14:paraId="1A8363F1" w14:textId="4B98CE08" w:rsidR="00EC63B6" w:rsidRPr="00E1388F" w:rsidRDefault="00EB1802" w:rsidP="00E1388F">
            <w:pPr>
              <w:spacing w:after="0" w:line="240" w:lineRule="auto"/>
              <w:rPr>
                <w:rFonts w:eastAsia="Times New Roman"/>
                <w:color w:val="000000"/>
                <w:lang w:eastAsia="es-MX"/>
              </w:rPr>
            </w:pPr>
            <w:r>
              <w:rPr>
                <w:rFonts w:eastAsia="Times New Roman"/>
                <w:color w:val="000000"/>
                <w:lang w:eastAsia="es-MX"/>
              </w:rPr>
              <w:t>667</w:t>
            </w:r>
          </w:p>
        </w:tc>
        <w:tc>
          <w:tcPr>
            <w:tcW w:w="6340" w:type="dxa"/>
            <w:gridSpan w:val="3"/>
            <w:shd w:val="clear" w:color="000000" w:fill="FFFFFF"/>
          </w:tcPr>
          <w:p w14:paraId="3D9DCA46" w14:textId="77777777" w:rsidR="00EC63B6" w:rsidRPr="00E1388F" w:rsidRDefault="00EB1802" w:rsidP="00E1388F">
            <w:pPr>
              <w:spacing w:after="0" w:line="240" w:lineRule="auto"/>
              <w:rPr>
                <w:rFonts w:eastAsia="Times New Roman"/>
                <w:color w:val="000000"/>
                <w:lang w:eastAsia="es-MX"/>
              </w:rPr>
            </w:pPr>
            <w:r>
              <w:rPr>
                <w:rFonts w:eastAsia="Times New Roman"/>
                <w:color w:val="000000"/>
                <w:lang w:eastAsia="es-MX"/>
              </w:rPr>
              <w:t>7 13 81 72</w:t>
            </w:r>
            <w:r w:rsidR="003E6E57">
              <w:rPr>
                <w:rFonts w:eastAsia="Times New Roman"/>
                <w:color w:val="000000"/>
                <w:lang w:eastAsia="es-MX"/>
              </w:rPr>
              <w:t xml:space="preserve"> </w:t>
            </w:r>
          </w:p>
        </w:tc>
      </w:tr>
    </w:tbl>
    <w:p w14:paraId="7FDD2E16" w14:textId="77777777" w:rsidR="00EC63B6" w:rsidRDefault="00EC63B6"/>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642"/>
        <w:gridCol w:w="861"/>
        <w:gridCol w:w="292"/>
        <w:gridCol w:w="1296"/>
        <w:gridCol w:w="2028"/>
        <w:gridCol w:w="315"/>
        <w:gridCol w:w="2181"/>
        <w:gridCol w:w="212"/>
        <w:gridCol w:w="1554"/>
      </w:tblGrid>
      <w:tr w:rsidR="00690BCC" w:rsidRPr="00E1388F" w14:paraId="5CD8AAA2" w14:textId="77777777" w:rsidTr="0076751A">
        <w:trPr>
          <w:trHeight w:val="300"/>
          <w:tblCellSpacing w:w="20" w:type="dxa"/>
        </w:trPr>
        <w:tc>
          <w:tcPr>
            <w:tcW w:w="10181" w:type="dxa"/>
            <w:gridSpan w:val="9"/>
            <w:shd w:val="clear" w:color="000000" w:fill="8B1D31"/>
            <w:noWrap/>
            <w:hideMark/>
          </w:tcPr>
          <w:p w14:paraId="633E01D1" w14:textId="77777777"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5. Identificación del (os) Programa(S)</w:t>
            </w:r>
          </w:p>
        </w:tc>
      </w:tr>
      <w:tr w:rsidR="003E6E57" w:rsidRPr="00E1388F" w14:paraId="0D8AA328" w14:textId="77777777" w:rsidTr="0076751A">
        <w:trPr>
          <w:trHeight w:val="390"/>
          <w:tblCellSpacing w:w="20" w:type="dxa"/>
        </w:trPr>
        <w:tc>
          <w:tcPr>
            <w:tcW w:w="6001" w:type="dxa"/>
            <w:gridSpan w:val="5"/>
            <w:shd w:val="clear" w:color="000000" w:fill="FFFFFF"/>
            <w:noWrap/>
            <w:hideMark/>
          </w:tcPr>
          <w:p w14:paraId="7F16DE6B" w14:textId="77777777" w:rsidR="003E6E57" w:rsidRPr="0076751A" w:rsidRDefault="003E6E57" w:rsidP="00E1388F">
            <w:pPr>
              <w:spacing w:after="0" w:line="240" w:lineRule="auto"/>
              <w:rPr>
                <w:rFonts w:eastAsia="Times New Roman"/>
                <w:b/>
                <w:color w:val="000000"/>
                <w:lang w:eastAsia="es-MX"/>
              </w:rPr>
            </w:pPr>
            <w:r w:rsidRPr="0076751A">
              <w:rPr>
                <w:rFonts w:eastAsia="Times New Roman"/>
                <w:b/>
                <w:color w:val="000000"/>
                <w:lang w:eastAsia="es-MX"/>
              </w:rPr>
              <w:t>5.1 Nombre del (os) Programa(s) Evaluado(s):</w:t>
            </w:r>
          </w:p>
        </w:tc>
        <w:tc>
          <w:tcPr>
            <w:tcW w:w="4140" w:type="dxa"/>
            <w:gridSpan w:val="4"/>
            <w:shd w:val="clear" w:color="000000" w:fill="FFFFFF"/>
            <w:noWrap/>
            <w:hideMark/>
          </w:tcPr>
          <w:p w14:paraId="2B5F9959" w14:textId="77777777" w:rsidR="003E6E57" w:rsidRPr="00E1388F" w:rsidRDefault="00EB1802" w:rsidP="00E1388F">
            <w:pPr>
              <w:spacing w:after="0" w:line="240" w:lineRule="auto"/>
              <w:rPr>
                <w:rFonts w:eastAsia="Times New Roman"/>
                <w:color w:val="000000"/>
                <w:lang w:eastAsia="es-MX"/>
              </w:rPr>
            </w:pPr>
            <w:r>
              <w:rPr>
                <w:rFonts w:eastAsia="Times New Roman"/>
                <w:color w:val="000000"/>
                <w:lang w:eastAsia="es-MX"/>
              </w:rPr>
              <w:t>Fondo de Aportaciones para los Servicios de Salud</w:t>
            </w:r>
            <w:r w:rsidR="003E6E57" w:rsidRPr="00E1388F">
              <w:rPr>
                <w:rFonts w:eastAsia="Times New Roman"/>
                <w:color w:val="000000"/>
                <w:lang w:eastAsia="es-MX"/>
              </w:rPr>
              <w:t> </w:t>
            </w:r>
          </w:p>
        </w:tc>
      </w:tr>
      <w:tr w:rsidR="00690BCC" w:rsidRPr="00E1388F" w14:paraId="3DDB3967" w14:textId="77777777" w:rsidTr="0076751A">
        <w:trPr>
          <w:trHeight w:val="390"/>
          <w:tblCellSpacing w:w="20" w:type="dxa"/>
        </w:trPr>
        <w:tc>
          <w:tcPr>
            <w:tcW w:w="1552" w:type="dxa"/>
            <w:shd w:val="clear" w:color="000000" w:fill="FFFFFF"/>
            <w:noWrap/>
            <w:hideMark/>
          </w:tcPr>
          <w:p w14:paraId="1AA1F55F"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5.2 Siglas:</w:t>
            </w:r>
          </w:p>
        </w:tc>
        <w:tc>
          <w:tcPr>
            <w:tcW w:w="8589" w:type="dxa"/>
            <w:gridSpan w:val="8"/>
            <w:shd w:val="clear" w:color="000000" w:fill="FFFFFF"/>
            <w:noWrap/>
            <w:hideMark/>
          </w:tcPr>
          <w:p w14:paraId="524F0E0F" w14:textId="77777777" w:rsidR="00E1388F" w:rsidRPr="003E6E57" w:rsidRDefault="00EB1802" w:rsidP="003E6E57">
            <w:pPr>
              <w:jc w:val="both"/>
              <w:rPr>
                <w:rFonts w:cstheme="minorHAnsi"/>
              </w:rPr>
            </w:pPr>
            <w:r>
              <w:rPr>
                <w:rFonts w:cstheme="minorHAnsi"/>
              </w:rPr>
              <w:t>FASSA</w:t>
            </w:r>
          </w:p>
        </w:tc>
      </w:tr>
      <w:tr w:rsidR="00690BCC" w:rsidRPr="00E1388F" w14:paraId="77A3436A" w14:textId="77777777" w:rsidTr="0076751A">
        <w:trPr>
          <w:trHeight w:val="390"/>
          <w:tblCellSpacing w:w="20" w:type="dxa"/>
        </w:trPr>
        <w:tc>
          <w:tcPr>
            <w:tcW w:w="6314" w:type="dxa"/>
            <w:gridSpan w:val="6"/>
            <w:shd w:val="clear" w:color="000000" w:fill="FFFFFF"/>
            <w:noWrap/>
            <w:hideMark/>
          </w:tcPr>
          <w:p w14:paraId="1E360A19"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5.3 Ente Público Coordinador del (os) Programa(s):</w:t>
            </w:r>
          </w:p>
        </w:tc>
        <w:tc>
          <w:tcPr>
            <w:tcW w:w="3827" w:type="dxa"/>
            <w:gridSpan w:val="3"/>
            <w:shd w:val="clear" w:color="000000" w:fill="FFFFFF"/>
            <w:noWrap/>
            <w:hideMark/>
          </w:tcPr>
          <w:p w14:paraId="1A2E2738" w14:textId="77777777" w:rsidR="00E1388F" w:rsidRPr="00E1388F" w:rsidRDefault="00E1388F" w:rsidP="00EB1802">
            <w:pPr>
              <w:spacing w:after="0" w:line="240" w:lineRule="auto"/>
              <w:rPr>
                <w:rFonts w:eastAsia="Times New Roman"/>
                <w:color w:val="000000"/>
                <w:lang w:eastAsia="es-MX"/>
              </w:rPr>
            </w:pPr>
            <w:r w:rsidRPr="00E1388F">
              <w:rPr>
                <w:rFonts w:eastAsia="Times New Roman"/>
                <w:color w:val="000000"/>
                <w:lang w:eastAsia="es-MX"/>
              </w:rPr>
              <w:t> </w:t>
            </w:r>
            <w:r w:rsidR="00EB1802">
              <w:rPr>
                <w:rFonts w:eastAsia="Times New Roman"/>
                <w:color w:val="000000"/>
                <w:lang w:eastAsia="es-MX"/>
              </w:rPr>
              <w:t>Servicios de Salud de Sinaloa</w:t>
            </w:r>
          </w:p>
        </w:tc>
      </w:tr>
      <w:tr w:rsidR="00690BCC" w:rsidRPr="00E1388F" w14:paraId="343A5D08" w14:textId="77777777" w:rsidTr="0076751A">
        <w:trPr>
          <w:trHeight w:val="390"/>
          <w:tblCellSpacing w:w="20" w:type="dxa"/>
        </w:trPr>
        <w:tc>
          <w:tcPr>
            <w:tcW w:w="10181" w:type="dxa"/>
            <w:gridSpan w:val="9"/>
            <w:shd w:val="clear" w:color="000000" w:fill="FFFFFF"/>
            <w:noWrap/>
            <w:hideMark/>
          </w:tcPr>
          <w:p w14:paraId="4D5E42ED" w14:textId="733ED52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5.4 Poder Público al que Pertenece(n) el(los) Programa(s):</w:t>
            </w:r>
          </w:p>
        </w:tc>
      </w:tr>
      <w:tr w:rsidR="00EC63B6" w:rsidRPr="00E1388F" w14:paraId="003D6F56" w14:textId="77777777" w:rsidTr="0076751A">
        <w:trPr>
          <w:trHeight w:val="390"/>
          <w:tblCellSpacing w:w="20" w:type="dxa"/>
        </w:trPr>
        <w:tc>
          <w:tcPr>
            <w:tcW w:w="2705" w:type="dxa"/>
            <w:gridSpan w:val="3"/>
            <w:shd w:val="clear" w:color="000000" w:fill="FFFFFF"/>
            <w:noWrap/>
            <w:hideMark/>
          </w:tcPr>
          <w:p w14:paraId="3E0FDB11" w14:textId="77777777" w:rsidR="00EB1802"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Poder Ejecutivo:</w:t>
            </w:r>
            <w:r w:rsidR="00EB1802">
              <w:rPr>
                <w:rFonts w:eastAsia="Times New Roman"/>
                <w:color w:val="000000"/>
                <w:lang w:eastAsia="es-MX"/>
              </w:rPr>
              <w:t xml:space="preserve">  X</w:t>
            </w:r>
          </w:p>
        </w:tc>
        <w:tc>
          <w:tcPr>
            <w:tcW w:w="3569" w:type="dxa"/>
            <w:gridSpan w:val="3"/>
            <w:shd w:val="clear" w:color="000000" w:fill="FFFFFF"/>
            <w:noWrap/>
            <w:hideMark/>
          </w:tcPr>
          <w:p w14:paraId="0153E8E1"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Poder Legislativo:</w:t>
            </w:r>
          </w:p>
        </w:tc>
        <w:tc>
          <w:tcPr>
            <w:tcW w:w="2111" w:type="dxa"/>
            <w:shd w:val="clear" w:color="000000" w:fill="FFFFFF"/>
            <w:noWrap/>
            <w:hideMark/>
          </w:tcPr>
          <w:p w14:paraId="0B19C114"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Poder Judicial:</w:t>
            </w:r>
          </w:p>
        </w:tc>
        <w:tc>
          <w:tcPr>
            <w:tcW w:w="1676" w:type="dxa"/>
            <w:gridSpan w:val="2"/>
            <w:shd w:val="clear" w:color="000000" w:fill="FFFFFF"/>
            <w:noWrap/>
            <w:hideMark/>
          </w:tcPr>
          <w:p w14:paraId="7610DEBA"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Ente Autónomo:</w:t>
            </w:r>
          </w:p>
        </w:tc>
      </w:tr>
      <w:tr w:rsidR="00690BCC" w:rsidRPr="00E1388F" w14:paraId="1B405105" w14:textId="77777777" w:rsidTr="0076751A">
        <w:trPr>
          <w:trHeight w:val="465"/>
          <w:tblCellSpacing w:w="20" w:type="dxa"/>
        </w:trPr>
        <w:tc>
          <w:tcPr>
            <w:tcW w:w="10181" w:type="dxa"/>
            <w:gridSpan w:val="9"/>
            <w:shd w:val="clear" w:color="auto" w:fill="F2F2F2" w:themeFill="background1" w:themeFillShade="F2"/>
            <w:noWrap/>
            <w:hideMark/>
          </w:tcPr>
          <w:p w14:paraId="4FE4E55F" w14:textId="0FDDD09D"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5.5 </w:t>
            </w:r>
            <w:r w:rsidR="00690BCC" w:rsidRPr="0076751A">
              <w:rPr>
                <w:rFonts w:eastAsia="Times New Roman"/>
                <w:b/>
                <w:color w:val="000000"/>
                <w:lang w:eastAsia="es-MX"/>
              </w:rPr>
              <w:t>Ámbito</w:t>
            </w:r>
            <w:r w:rsidRPr="0076751A">
              <w:rPr>
                <w:rFonts w:eastAsia="Times New Roman"/>
                <w:b/>
                <w:color w:val="000000"/>
                <w:lang w:eastAsia="es-MX"/>
              </w:rPr>
              <w:t xml:space="preserve"> Gubernamental al que Pertenece(n) el(los) Programas):</w:t>
            </w:r>
          </w:p>
        </w:tc>
      </w:tr>
      <w:tr w:rsidR="00690BCC" w:rsidRPr="00E1388F" w14:paraId="150C72B5" w14:textId="77777777" w:rsidTr="0076751A">
        <w:trPr>
          <w:trHeight w:val="390"/>
          <w:tblCellSpacing w:w="20" w:type="dxa"/>
        </w:trPr>
        <w:tc>
          <w:tcPr>
            <w:tcW w:w="3990" w:type="dxa"/>
            <w:gridSpan w:val="4"/>
            <w:shd w:val="clear" w:color="000000" w:fill="FFFFFF"/>
            <w:noWrap/>
            <w:hideMark/>
          </w:tcPr>
          <w:p w14:paraId="0D70F713" w14:textId="77777777"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Federal:</w:t>
            </w:r>
            <w:r w:rsidR="00EB1802" w:rsidRPr="0076751A">
              <w:rPr>
                <w:rFonts w:eastAsia="Times New Roman"/>
                <w:b/>
                <w:color w:val="000000"/>
                <w:lang w:eastAsia="es-MX"/>
              </w:rPr>
              <w:t xml:space="preserve"> </w:t>
            </w:r>
            <w:r w:rsidR="00EB1802">
              <w:rPr>
                <w:rFonts w:eastAsia="Times New Roman"/>
                <w:color w:val="000000"/>
                <w:lang w:eastAsia="es-MX"/>
              </w:rPr>
              <w:t xml:space="preserve"> X</w:t>
            </w:r>
          </w:p>
        </w:tc>
        <w:tc>
          <w:tcPr>
            <w:tcW w:w="4435" w:type="dxa"/>
            <w:gridSpan w:val="3"/>
            <w:shd w:val="clear" w:color="000000" w:fill="FFFFFF"/>
            <w:noWrap/>
            <w:hideMark/>
          </w:tcPr>
          <w:p w14:paraId="41C3479A" w14:textId="77777777" w:rsidR="00E1388F" w:rsidRPr="0076751A" w:rsidRDefault="00EB1802" w:rsidP="00E1388F">
            <w:pPr>
              <w:spacing w:after="0" w:line="240" w:lineRule="auto"/>
              <w:rPr>
                <w:rFonts w:eastAsia="Times New Roman"/>
                <w:b/>
                <w:color w:val="000000"/>
                <w:lang w:eastAsia="es-MX"/>
              </w:rPr>
            </w:pPr>
            <w:r w:rsidRPr="0076751A">
              <w:rPr>
                <w:rFonts w:eastAsia="Times New Roman"/>
                <w:b/>
                <w:color w:val="000000"/>
                <w:lang w:eastAsia="es-MX"/>
              </w:rPr>
              <w:t>Estatal</w:t>
            </w:r>
            <w:r w:rsidR="0076751A">
              <w:rPr>
                <w:rFonts w:eastAsia="Times New Roman"/>
                <w:b/>
                <w:color w:val="000000"/>
                <w:lang w:eastAsia="es-MX"/>
              </w:rPr>
              <w:t>:</w:t>
            </w:r>
          </w:p>
        </w:tc>
        <w:tc>
          <w:tcPr>
            <w:tcW w:w="1676" w:type="dxa"/>
            <w:gridSpan w:val="2"/>
            <w:shd w:val="clear" w:color="000000" w:fill="FFFFFF"/>
            <w:noWrap/>
            <w:hideMark/>
          </w:tcPr>
          <w:p w14:paraId="7B9EC585"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Local:</w:t>
            </w:r>
          </w:p>
        </w:tc>
      </w:tr>
      <w:tr w:rsidR="00690BCC" w:rsidRPr="00E1388F" w14:paraId="2AFC21FF" w14:textId="77777777" w:rsidTr="0076751A">
        <w:trPr>
          <w:trHeight w:val="510"/>
          <w:tblCellSpacing w:w="20" w:type="dxa"/>
        </w:trPr>
        <w:tc>
          <w:tcPr>
            <w:tcW w:w="10181" w:type="dxa"/>
            <w:gridSpan w:val="9"/>
            <w:shd w:val="clear" w:color="000000" w:fill="FFFFFF"/>
            <w:noWrap/>
            <w:hideMark/>
          </w:tcPr>
          <w:p w14:paraId="1999591B" w14:textId="2592A88B"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5.6 Nombre de la(s) Unidad(es) Administrativa(s) y de (los) titular(es) a cargo del (los) Programa(s):</w:t>
            </w:r>
            <w:r w:rsidR="00601986" w:rsidRPr="0076751A">
              <w:rPr>
                <w:rFonts w:eastAsia="Times New Roman"/>
                <w:b/>
                <w:color w:val="000000"/>
                <w:lang w:eastAsia="es-MX"/>
              </w:rPr>
              <w:t xml:space="preserve"> </w:t>
            </w:r>
            <w:r w:rsidR="00486961">
              <w:rPr>
                <w:rFonts w:eastAsia="Times New Roman"/>
                <w:bCs/>
                <w:color w:val="000000"/>
                <w:lang w:eastAsia="es-MX"/>
              </w:rPr>
              <w:t>Lic. Karla Gámez Gutiérrez, Directora Administrativa de los Servicios de Salud de Sinaloa.</w:t>
            </w:r>
          </w:p>
        </w:tc>
      </w:tr>
      <w:tr w:rsidR="00690BCC" w:rsidRPr="00E1388F" w14:paraId="1487112F" w14:textId="77777777" w:rsidTr="00486961">
        <w:trPr>
          <w:trHeight w:val="231"/>
          <w:tblCellSpacing w:w="20" w:type="dxa"/>
        </w:trPr>
        <w:tc>
          <w:tcPr>
            <w:tcW w:w="10181" w:type="dxa"/>
            <w:gridSpan w:val="9"/>
            <w:shd w:val="clear" w:color="000000" w:fill="FFFFFF"/>
            <w:noWrap/>
            <w:hideMark/>
          </w:tcPr>
          <w:p w14:paraId="25B10E87" w14:textId="4024EF2F"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5.6.1 Nombre(s) de la(s) Unidad(es) Administrativa(s) a cargo de (los) Programa(s):</w:t>
            </w:r>
            <w:r w:rsidR="00601986" w:rsidRPr="0076751A">
              <w:rPr>
                <w:rFonts w:eastAsia="Times New Roman"/>
                <w:b/>
                <w:color w:val="000000"/>
                <w:lang w:eastAsia="es-MX"/>
              </w:rPr>
              <w:t xml:space="preserve"> </w:t>
            </w:r>
          </w:p>
        </w:tc>
      </w:tr>
      <w:tr w:rsidR="00690BCC" w:rsidRPr="00E1388F" w14:paraId="66E431D2" w14:textId="77777777" w:rsidTr="0076751A">
        <w:trPr>
          <w:trHeight w:val="435"/>
          <w:tblCellSpacing w:w="20" w:type="dxa"/>
        </w:trPr>
        <w:tc>
          <w:tcPr>
            <w:tcW w:w="10181" w:type="dxa"/>
            <w:gridSpan w:val="9"/>
            <w:shd w:val="clear" w:color="000000" w:fill="FFFFFF"/>
            <w:noWrap/>
            <w:hideMark/>
          </w:tcPr>
          <w:p w14:paraId="1CAAFE22" w14:textId="697727B3" w:rsidR="00E1388F" w:rsidRPr="00E1388F" w:rsidRDefault="00EB1802" w:rsidP="00486961">
            <w:pPr>
              <w:spacing w:after="0" w:line="240" w:lineRule="auto"/>
              <w:rPr>
                <w:rFonts w:eastAsia="Times New Roman"/>
                <w:color w:val="000000"/>
                <w:lang w:eastAsia="es-MX"/>
              </w:rPr>
            </w:pPr>
            <w:r>
              <w:rPr>
                <w:rFonts w:eastAsia="Times New Roman"/>
                <w:color w:val="000000"/>
                <w:lang w:eastAsia="es-MX"/>
              </w:rPr>
              <w:t>Servicios de Salud de Sinaloa</w:t>
            </w:r>
            <w:r w:rsidR="00486961">
              <w:rPr>
                <w:rFonts w:eastAsia="Times New Roman"/>
                <w:color w:val="000000"/>
                <w:lang w:eastAsia="es-MX"/>
              </w:rPr>
              <w:t>.</w:t>
            </w:r>
          </w:p>
        </w:tc>
      </w:tr>
      <w:tr w:rsidR="00690BCC" w:rsidRPr="00E1388F" w14:paraId="60AEAFA3" w14:textId="77777777" w:rsidTr="0076751A">
        <w:trPr>
          <w:trHeight w:val="675"/>
          <w:tblCellSpacing w:w="20" w:type="dxa"/>
        </w:trPr>
        <w:tc>
          <w:tcPr>
            <w:tcW w:w="10181" w:type="dxa"/>
            <w:gridSpan w:val="9"/>
            <w:shd w:val="clear" w:color="000000" w:fill="F2F2F2"/>
            <w:hideMark/>
          </w:tcPr>
          <w:p w14:paraId="5B582C77"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5.6.2 Nombre(s) de (los) Titular (es) de la(s) Unidad(es) Administrativa(s) a Cargo de (los) Programa(s) (nombre completo, correo </w:t>
            </w:r>
            <w:r w:rsidR="00690BCC" w:rsidRPr="0076751A">
              <w:rPr>
                <w:rFonts w:eastAsia="Times New Roman"/>
                <w:b/>
                <w:color w:val="000000"/>
                <w:lang w:eastAsia="es-MX"/>
              </w:rPr>
              <w:t>electrónico</w:t>
            </w:r>
            <w:r w:rsidRPr="0076751A">
              <w:rPr>
                <w:rFonts w:eastAsia="Times New Roman"/>
                <w:b/>
                <w:color w:val="000000"/>
                <w:lang w:eastAsia="es-MX"/>
              </w:rPr>
              <w:t xml:space="preserve"> y teléfono con clave lada):</w:t>
            </w:r>
          </w:p>
        </w:tc>
      </w:tr>
      <w:tr w:rsidR="00EC63B6" w:rsidRPr="00E1388F" w14:paraId="3D4E5DD5" w14:textId="77777777" w:rsidTr="0076751A">
        <w:trPr>
          <w:trHeight w:val="495"/>
          <w:tblCellSpacing w:w="20" w:type="dxa"/>
        </w:trPr>
        <w:tc>
          <w:tcPr>
            <w:tcW w:w="2413" w:type="dxa"/>
            <w:gridSpan w:val="2"/>
            <w:shd w:val="clear" w:color="000000" w:fill="FFFFFF"/>
            <w:noWrap/>
            <w:hideMark/>
          </w:tcPr>
          <w:p w14:paraId="2894FB53"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Nombre:</w:t>
            </w:r>
          </w:p>
        </w:tc>
        <w:tc>
          <w:tcPr>
            <w:tcW w:w="3548" w:type="dxa"/>
            <w:gridSpan w:val="3"/>
            <w:shd w:val="clear" w:color="000000" w:fill="FFFFFF"/>
            <w:noWrap/>
            <w:hideMark/>
          </w:tcPr>
          <w:p w14:paraId="767A6356" w14:textId="77777777" w:rsidR="00E1388F" w:rsidRPr="00E1388F" w:rsidRDefault="00EB1802" w:rsidP="00601986">
            <w:pPr>
              <w:spacing w:after="0" w:line="240" w:lineRule="auto"/>
              <w:rPr>
                <w:rFonts w:eastAsia="Times New Roman"/>
                <w:color w:val="000000"/>
                <w:lang w:eastAsia="es-MX"/>
              </w:rPr>
            </w:pPr>
            <w:r>
              <w:rPr>
                <w:rFonts w:eastAsia="Times New Roman"/>
                <w:color w:val="000000"/>
                <w:lang w:eastAsia="es-MX"/>
              </w:rPr>
              <w:t>Lic. Karla Gámez Gutiérrez</w:t>
            </w:r>
          </w:p>
        </w:tc>
        <w:tc>
          <w:tcPr>
            <w:tcW w:w="2636" w:type="dxa"/>
            <w:gridSpan w:val="3"/>
            <w:shd w:val="clear" w:color="000000" w:fill="FFFFFF"/>
            <w:noWrap/>
            <w:hideMark/>
          </w:tcPr>
          <w:p w14:paraId="5041BF52"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Unidad Administrativa:</w:t>
            </w:r>
          </w:p>
        </w:tc>
        <w:tc>
          <w:tcPr>
            <w:tcW w:w="1464" w:type="dxa"/>
            <w:shd w:val="clear" w:color="000000" w:fill="FFFFFF"/>
            <w:noWrap/>
            <w:hideMark/>
          </w:tcPr>
          <w:p w14:paraId="055587FB" w14:textId="77777777" w:rsidR="00E1388F" w:rsidRPr="00E1388F" w:rsidRDefault="00EB1802" w:rsidP="00601986">
            <w:pPr>
              <w:spacing w:after="0" w:line="240" w:lineRule="auto"/>
              <w:rPr>
                <w:rFonts w:eastAsia="Times New Roman"/>
                <w:color w:val="000000"/>
                <w:lang w:eastAsia="es-MX"/>
              </w:rPr>
            </w:pPr>
            <w:r>
              <w:rPr>
                <w:rFonts w:eastAsia="Times New Roman"/>
                <w:color w:val="000000"/>
                <w:lang w:eastAsia="es-MX"/>
              </w:rPr>
              <w:t>Servicios de Salud de Sinaloa</w:t>
            </w:r>
          </w:p>
        </w:tc>
      </w:tr>
      <w:tr w:rsidR="00EC63B6" w:rsidRPr="00E1388F" w14:paraId="171CC1B7" w14:textId="77777777" w:rsidTr="0076751A">
        <w:trPr>
          <w:trHeight w:val="495"/>
          <w:tblCellSpacing w:w="20" w:type="dxa"/>
        </w:trPr>
        <w:tc>
          <w:tcPr>
            <w:tcW w:w="2413" w:type="dxa"/>
            <w:gridSpan w:val="2"/>
            <w:shd w:val="clear" w:color="000000" w:fill="FFFFFF"/>
            <w:noWrap/>
            <w:hideMark/>
          </w:tcPr>
          <w:p w14:paraId="02729052"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Correo Electrónico:</w:t>
            </w:r>
          </w:p>
        </w:tc>
        <w:tc>
          <w:tcPr>
            <w:tcW w:w="3548" w:type="dxa"/>
            <w:gridSpan w:val="3"/>
            <w:shd w:val="clear" w:color="000000" w:fill="FFFFFF"/>
            <w:noWrap/>
            <w:hideMark/>
          </w:tcPr>
          <w:p w14:paraId="00174866" w14:textId="77777777" w:rsidR="00E1388F" w:rsidRPr="0076751A" w:rsidRDefault="00D36A8B" w:rsidP="00E1388F">
            <w:pPr>
              <w:spacing w:after="0" w:line="240" w:lineRule="auto"/>
              <w:rPr>
                <w:rFonts w:eastAsia="Times New Roman"/>
                <w:color w:val="000000"/>
                <w:lang w:eastAsia="es-MX"/>
              </w:rPr>
            </w:pPr>
            <w:hyperlink r:id="rId10" w:history="1">
              <w:r w:rsidR="0076751A" w:rsidRPr="00401E76">
                <w:rPr>
                  <w:rStyle w:val="Hipervnculo"/>
                  <w:rFonts w:eastAsia="Times New Roman"/>
                  <w:lang w:eastAsia="es-MX"/>
                </w:rPr>
                <w:t>karla.gamez@saludsinaloa.gob.mx</w:t>
              </w:r>
            </w:hyperlink>
            <w:r w:rsidR="0076751A">
              <w:rPr>
                <w:rFonts w:eastAsia="Times New Roman"/>
                <w:color w:val="000000"/>
                <w:lang w:eastAsia="es-MX"/>
              </w:rPr>
              <w:t xml:space="preserve"> </w:t>
            </w:r>
          </w:p>
        </w:tc>
        <w:tc>
          <w:tcPr>
            <w:tcW w:w="2636" w:type="dxa"/>
            <w:gridSpan w:val="3"/>
            <w:shd w:val="clear" w:color="000000" w:fill="FFFFFF"/>
            <w:noWrap/>
            <w:hideMark/>
          </w:tcPr>
          <w:p w14:paraId="184123C9"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Teléfono con lada:</w:t>
            </w:r>
          </w:p>
        </w:tc>
        <w:tc>
          <w:tcPr>
            <w:tcW w:w="1464" w:type="dxa"/>
            <w:shd w:val="clear" w:color="000000" w:fill="FFFFFF"/>
            <w:noWrap/>
            <w:hideMark/>
          </w:tcPr>
          <w:p w14:paraId="16069F5F" w14:textId="731AEFC3" w:rsidR="00E1388F" w:rsidRPr="00E1388F" w:rsidRDefault="00EB1802" w:rsidP="007A2DBF">
            <w:pPr>
              <w:spacing w:after="0" w:line="240" w:lineRule="auto"/>
              <w:rPr>
                <w:rFonts w:eastAsia="Times New Roman"/>
                <w:color w:val="000000"/>
                <w:lang w:eastAsia="es-MX"/>
              </w:rPr>
            </w:pPr>
            <w:r>
              <w:rPr>
                <w:rFonts w:eastAsia="Times New Roman"/>
                <w:color w:val="000000"/>
                <w:lang w:eastAsia="es-MX"/>
              </w:rPr>
              <w:t xml:space="preserve">(667) </w:t>
            </w:r>
            <w:r w:rsidR="007A2DBF">
              <w:rPr>
                <w:rFonts w:eastAsia="Times New Roman"/>
                <w:color w:val="000000"/>
                <w:lang w:eastAsia="es-MX"/>
              </w:rPr>
              <w:t>2</w:t>
            </w:r>
            <w:r>
              <w:rPr>
                <w:rFonts w:eastAsia="Times New Roman"/>
                <w:color w:val="000000"/>
                <w:lang w:eastAsia="es-MX"/>
              </w:rPr>
              <w:t xml:space="preserve"> </w:t>
            </w:r>
            <w:r w:rsidR="007A2DBF">
              <w:rPr>
                <w:rFonts w:eastAsia="Times New Roman"/>
                <w:color w:val="000000"/>
                <w:lang w:eastAsia="es-MX"/>
              </w:rPr>
              <w:t>61</w:t>
            </w:r>
            <w:r>
              <w:rPr>
                <w:rFonts w:eastAsia="Times New Roman"/>
                <w:color w:val="000000"/>
                <w:lang w:eastAsia="es-MX"/>
              </w:rPr>
              <w:t xml:space="preserve"> 2</w:t>
            </w:r>
            <w:r w:rsidR="007A2DBF">
              <w:rPr>
                <w:rFonts w:eastAsia="Times New Roman"/>
                <w:color w:val="000000"/>
                <w:lang w:eastAsia="es-MX"/>
              </w:rPr>
              <w:t>2</w:t>
            </w:r>
            <w:r>
              <w:rPr>
                <w:rFonts w:eastAsia="Times New Roman"/>
                <w:color w:val="000000"/>
                <w:lang w:eastAsia="es-MX"/>
              </w:rPr>
              <w:t xml:space="preserve"> 00</w:t>
            </w:r>
          </w:p>
        </w:tc>
      </w:tr>
    </w:tbl>
    <w:p w14:paraId="45403C2B" w14:textId="77777777" w:rsidR="00EC63B6" w:rsidRDefault="00EC63B6"/>
    <w:tbl>
      <w:tblPr>
        <w:tblW w:w="1046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28"/>
        <w:gridCol w:w="1512"/>
        <w:gridCol w:w="6183"/>
      </w:tblGrid>
      <w:tr w:rsidR="00690BCC" w:rsidRPr="00E1388F" w14:paraId="375A1A52" w14:textId="77777777" w:rsidTr="00486961">
        <w:trPr>
          <w:trHeight w:val="300"/>
          <w:tblCellSpacing w:w="20" w:type="dxa"/>
        </w:trPr>
        <w:tc>
          <w:tcPr>
            <w:tcW w:w="10383" w:type="dxa"/>
            <w:gridSpan w:val="3"/>
            <w:shd w:val="clear" w:color="000000" w:fill="8B1D31"/>
            <w:noWrap/>
            <w:hideMark/>
          </w:tcPr>
          <w:p w14:paraId="602CF259" w14:textId="77777777"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6. Datos de Contratación de la Evaluación</w:t>
            </w:r>
          </w:p>
        </w:tc>
      </w:tr>
      <w:tr w:rsidR="00690BCC" w:rsidRPr="00E1388F" w14:paraId="10466935" w14:textId="77777777" w:rsidTr="00486961">
        <w:trPr>
          <w:trHeight w:val="375"/>
          <w:tblCellSpacing w:w="20" w:type="dxa"/>
        </w:trPr>
        <w:tc>
          <w:tcPr>
            <w:tcW w:w="10383" w:type="dxa"/>
            <w:gridSpan w:val="3"/>
            <w:shd w:val="clear" w:color="000000" w:fill="FFFFFF"/>
            <w:noWrap/>
            <w:hideMark/>
          </w:tcPr>
          <w:p w14:paraId="16B09B67" w14:textId="2515931F"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6.1 Tipo de Contratación:</w:t>
            </w:r>
          </w:p>
        </w:tc>
      </w:tr>
      <w:tr w:rsidR="00690BCC" w:rsidRPr="0076751A" w14:paraId="4DB305A0" w14:textId="77777777" w:rsidTr="00486961">
        <w:trPr>
          <w:trHeight w:val="345"/>
          <w:tblCellSpacing w:w="20" w:type="dxa"/>
        </w:trPr>
        <w:tc>
          <w:tcPr>
            <w:tcW w:w="4250" w:type="dxa"/>
            <w:gridSpan w:val="2"/>
            <w:shd w:val="clear" w:color="000000" w:fill="FFFFFF"/>
            <w:noWrap/>
            <w:hideMark/>
          </w:tcPr>
          <w:p w14:paraId="783EBEDD"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6.1.1 Adjudicación Directa:</w:t>
            </w:r>
          </w:p>
        </w:tc>
        <w:tc>
          <w:tcPr>
            <w:tcW w:w="6093" w:type="dxa"/>
            <w:shd w:val="clear" w:color="000000" w:fill="FFFFFF"/>
            <w:noWrap/>
            <w:hideMark/>
          </w:tcPr>
          <w:p w14:paraId="1A2D0F5C" w14:textId="186807B1"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6.1.2 Invitación a Tres:</w:t>
            </w:r>
            <w:r w:rsidR="007A2DBF">
              <w:rPr>
                <w:rFonts w:eastAsia="Times New Roman"/>
                <w:b/>
                <w:color w:val="000000"/>
                <w:lang w:eastAsia="es-MX"/>
              </w:rPr>
              <w:t xml:space="preserve">   X</w:t>
            </w:r>
          </w:p>
        </w:tc>
      </w:tr>
      <w:tr w:rsidR="00690BCC" w:rsidRPr="0076751A" w14:paraId="651C75E5" w14:textId="77777777" w:rsidTr="00486961">
        <w:trPr>
          <w:trHeight w:val="446"/>
          <w:tblCellSpacing w:w="20" w:type="dxa"/>
        </w:trPr>
        <w:tc>
          <w:tcPr>
            <w:tcW w:w="4250" w:type="dxa"/>
            <w:gridSpan w:val="2"/>
            <w:shd w:val="clear" w:color="000000" w:fill="FFFFFF"/>
            <w:noWrap/>
            <w:hideMark/>
          </w:tcPr>
          <w:p w14:paraId="67EBB6B8"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lastRenderedPageBreak/>
              <w:t>6.1.3 Licitación Pública Nacional:</w:t>
            </w:r>
          </w:p>
        </w:tc>
        <w:tc>
          <w:tcPr>
            <w:tcW w:w="6093" w:type="dxa"/>
            <w:shd w:val="clear" w:color="000000" w:fill="FFFFFF"/>
            <w:noWrap/>
            <w:hideMark/>
          </w:tcPr>
          <w:p w14:paraId="58CDAAC0" w14:textId="77777777"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6.1.4 Licitación Pública Internacional:</w:t>
            </w:r>
          </w:p>
        </w:tc>
      </w:tr>
      <w:tr w:rsidR="00601986" w:rsidRPr="0076751A" w14:paraId="7D37027F" w14:textId="77777777" w:rsidTr="00486961">
        <w:trPr>
          <w:trHeight w:val="390"/>
          <w:tblCellSpacing w:w="20" w:type="dxa"/>
        </w:trPr>
        <w:tc>
          <w:tcPr>
            <w:tcW w:w="2738" w:type="dxa"/>
            <w:shd w:val="clear" w:color="000000" w:fill="FFFFFF"/>
            <w:noWrap/>
            <w:hideMark/>
          </w:tcPr>
          <w:p w14:paraId="0FE3AC7C" w14:textId="77777777" w:rsidR="00601986" w:rsidRPr="0076751A" w:rsidRDefault="00601986" w:rsidP="00E1388F">
            <w:pPr>
              <w:spacing w:after="0" w:line="240" w:lineRule="auto"/>
              <w:rPr>
                <w:rFonts w:eastAsia="Times New Roman"/>
                <w:b/>
                <w:color w:val="000000"/>
                <w:lang w:eastAsia="es-MX"/>
              </w:rPr>
            </w:pPr>
            <w:r w:rsidRPr="0076751A">
              <w:rPr>
                <w:rFonts w:eastAsia="Times New Roman"/>
                <w:b/>
                <w:color w:val="000000"/>
                <w:lang w:eastAsia="es-MX"/>
              </w:rPr>
              <w:t>6.1.5 Otro: (señalar)</w:t>
            </w:r>
          </w:p>
        </w:tc>
        <w:tc>
          <w:tcPr>
            <w:tcW w:w="7605" w:type="dxa"/>
            <w:gridSpan w:val="2"/>
            <w:shd w:val="clear" w:color="000000" w:fill="FFFFFF"/>
            <w:noWrap/>
            <w:hideMark/>
          </w:tcPr>
          <w:p w14:paraId="2C5CBFCE" w14:textId="0658AE2C" w:rsidR="00601986" w:rsidRPr="0076751A" w:rsidRDefault="00EB1802" w:rsidP="00E1388F">
            <w:pPr>
              <w:spacing w:after="0" w:line="240" w:lineRule="auto"/>
              <w:rPr>
                <w:rFonts w:eastAsia="Times New Roman"/>
                <w:color w:val="000000"/>
                <w:lang w:eastAsia="es-MX"/>
              </w:rPr>
            </w:pPr>
            <w:r w:rsidRPr="0076751A">
              <w:rPr>
                <w:rFonts w:eastAsia="Times New Roman"/>
                <w:color w:val="000000"/>
                <w:lang w:eastAsia="es-MX"/>
              </w:rPr>
              <w:t>Honorarios Profesionales</w:t>
            </w:r>
          </w:p>
        </w:tc>
      </w:tr>
      <w:tr w:rsidR="00690BCC" w:rsidRPr="00E1388F" w14:paraId="20300598" w14:textId="77777777" w:rsidTr="00486961">
        <w:trPr>
          <w:trHeight w:val="390"/>
          <w:tblCellSpacing w:w="20" w:type="dxa"/>
        </w:trPr>
        <w:tc>
          <w:tcPr>
            <w:tcW w:w="10383" w:type="dxa"/>
            <w:gridSpan w:val="3"/>
            <w:shd w:val="clear" w:color="000000" w:fill="FFFFFF"/>
            <w:noWrap/>
            <w:hideMark/>
          </w:tcPr>
          <w:p w14:paraId="4267B8F9" w14:textId="77777777" w:rsidR="00E1388F" w:rsidRPr="00E1388F" w:rsidRDefault="00E1388F" w:rsidP="003D5DDB">
            <w:pPr>
              <w:spacing w:after="0" w:line="240" w:lineRule="auto"/>
              <w:rPr>
                <w:rFonts w:eastAsia="Times New Roman"/>
                <w:color w:val="000000"/>
                <w:lang w:eastAsia="es-MX"/>
              </w:rPr>
            </w:pPr>
            <w:r w:rsidRPr="0076751A">
              <w:rPr>
                <w:rFonts w:eastAsia="Times New Roman"/>
                <w:b/>
                <w:color w:val="000000"/>
                <w:lang w:eastAsia="es-MX"/>
              </w:rPr>
              <w:t>6.2 Unidad Administrativa Responsable de Contratar la Evaluación</w:t>
            </w:r>
            <w:r w:rsidR="003D5DDB" w:rsidRPr="0076751A">
              <w:rPr>
                <w:rFonts w:eastAsia="Times New Roman"/>
                <w:b/>
                <w:color w:val="000000"/>
                <w:lang w:eastAsia="es-MX"/>
              </w:rPr>
              <w:t xml:space="preserve">: </w:t>
            </w:r>
            <w:r w:rsidR="003D5DDB">
              <w:rPr>
                <w:rFonts w:eastAsia="Times New Roman"/>
                <w:color w:val="000000"/>
                <w:lang w:eastAsia="es-MX"/>
              </w:rPr>
              <w:t>Servicios de Salud de Sinaloa</w:t>
            </w:r>
          </w:p>
        </w:tc>
      </w:tr>
      <w:tr w:rsidR="00690BCC" w:rsidRPr="00E1388F" w14:paraId="3406A9BC" w14:textId="77777777" w:rsidTr="00486961">
        <w:trPr>
          <w:trHeight w:val="390"/>
          <w:tblCellSpacing w:w="20" w:type="dxa"/>
        </w:trPr>
        <w:tc>
          <w:tcPr>
            <w:tcW w:w="10383" w:type="dxa"/>
            <w:gridSpan w:val="3"/>
            <w:shd w:val="clear" w:color="000000" w:fill="FFFFFF"/>
            <w:noWrap/>
            <w:hideMark/>
          </w:tcPr>
          <w:p w14:paraId="6D536997" w14:textId="77777777" w:rsidR="00E1388F" w:rsidRPr="00166F9E" w:rsidRDefault="00E1388F" w:rsidP="003D5DDB">
            <w:pPr>
              <w:spacing w:after="0" w:line="240" w:lineRule="auto"/>
              <w:rPr>
                <w:rFonts w:eastAsia="Times New Roman"/>
                <w:color w:val="000000"/>
                <w:highlight w:val="yellow"/>
                <w:lang w:eastAsia="es-MX"/>
              </w:rPr>
            </w:pPr>
            <w:r w:rsidRPr="00040183">
              <w:rPr>
                <w:rFonts w:eastAsia="Times New Roman"/>
                <w:b/>
                <w:color w:val="000000"/>
                <w:lang w:eastAsia="es-MX"/>
              </w:rPr>
              <w:t>6.3 C</w:t>
            </w:r>
            <w:r w:rsidR="00690BCC" w:rsidRPr="00040183">
              <w:rPr>
                <w:rFonts w:eastAsia="Times New Roman"/>
                <w:b/>
                <w:color w:val="000000"/>
                <w:lang w:eastAsia="es-MX"/>
              </w:rPr>
              <w:t>osto Total de la Evaluación</w:t>
            </w:r>
            <w:r w:rsidR="002F68C0" w:rsidRPr="00040183">
              <w:rPr>
                <w:rFonts w:eastAsia="Times New Roman"/>
                <w:b/>
                <w:color w:val="000000"/>
                <w:lang w:eastAsia="es-MX"/>
              </w:rPr>
              <w:t>:</w:t>
            </w:r>
            <w:r w:rsidR="002F68C0" w:rsidRPr="00040183">
              <w:rPr>
                <w:rFonts w:eastAsia="Times New Roman"/>
                <w:color w:val="000000"/>
                <w:lang w:eastAsia="es-MX"/>
              </w:rPr>
              <w:t xml:space="preserve"> $</w:t>
            </w:r>
            <w:r w:rsidR="005E525A" w:rsidRPr="00040183">
              <w:rPr>
                <w:rFonts w:eastAsia="Times New Roman"/>
                <w:color w:val="000000"/>
                <w:lang w:eastAsia="es-MX"/>
              </w:rPr>
              <w:t>8</w:t>
            </w:r>
            <w:r w:rsidR="003D5DDB" w:rsidRPr="00040183">
              <w:rPr>
                <w:rFonts w:eastAsia="Times New Roman"/>
                <w:color w:val="000000"/>
                <w:lang w:eastAsia="es-MX"/>
              </w:rPr>
              <w:t>0,000.00</w:t>
            </w:r>
            <w:r w:rsidR="005E525A" w:rsidRPr="00040183">
              <w:rPr>
                <w:rFonts w:eastAsia="Times New Roman"/>
                <w:color w:val="000000"/>
                <w:lang w:eastAsia="es-MX"/>
              </w:rPr>
              <w:t xml:space="preserve"> (Ochenta mil pesos 00/100 m.n.)</w:t>
            </w:r>
          </w:p>
        </w:tc>
      </w:tr>
      <w:tr w:rsidR="00690BCC" w:rsidRPr="00E1388F" w14:paraId="6B9AA6D9" w14:textId="77777777" w:rsidTr="00486961">
        <w:trPr>
          <w:trHeight w:val="390"/>
          <w:tblCellSpacing w:w="20" w:type="dxa"/>
        </w:trPr>
        <w:tc>
          <w:tcPr>
            <w:tcW w:w="10383" w:type="dxa"/>
            <w:gridSpan w:val="3"/>
            <w:shd w:val="clear" w:color="000000" w:fill="FFFFFF"/>
            <w:noWrap/>
            <w:hideMark/>
          </w:tcPr>
          <w:p w14:paraId="7EAA7014" w14:textId="77777777" w:rsidR="00E1388F" w:rsidRPr="003208C0" w:rsidRDefault="00E1388F" w:rsidP="003208C0">
            <w:pPr>
              <w:spacing w:after="0" w:line="240" w:lineRule="auto"/>
              <w:rPr>
                <w:rFonts w:eastAsia="Times New Roman"/>
                <w:color w:val="000000"/>
                <w:lang w:eastAsia="es-MX"/>
              </w:rPr>
            </w:pPr>
            <w:r w:rsidRPr="0076751A">
              <w:rPr>
                <w:rFonts w:eastAsia="Times New Roman"/>
                <w:b/>
                <w:color w:val="000000"/>
                <w:lang w:eastAsia="es-MX"/>
              </w:rPr>
              <w:t>6.4 Fuente de Financiamiento:</w:t>
            </w:r>
            <w:r w:rsidR="00601986" w:rsidRPr="003208C0">
              <w:rPr>
                <w:rFonts w:eastAsia="Times New Roman"/>
                <w:color w:val="000000"/>
                <w:lang w:eastAsia="es-MX"/>
              </w:rPr>
              <w:t xml:space="preserve"> </w:t>
            </w:r>
            <w:r w:rsidR="003208C0">
              <w:rPr>
                <w:rFonts w:eastAsia="Times New Roman"/>
                <w:color w:val="000000"/>
                <w:lang w:eastAsia="es-MX"/>
              </w:rPr>
              <w:t>Fondo de Aportaciones para los Servicios de Salud (FASSA)</w:t>
            </w:r>
            <w:r w:rsidR="00601986" w:rsidRPr="003208C0">
              <w:rPr>
                <w:rFonts w:eastAsia="Times New Roman"/>
                <w:color w:val="000000"/>
                <w:lang w:eastAsia="es-MX"/>
              </w:rPr>
              <w:t>.</w:t>
            </w:r>
          </w:p>
        </w:tc>
      </w:tr>
    </w:tbl>
    <w:p w14:paraId="26FFCF24" w14:textId="77777777" w:rsidR="00EC63B6" w:rsidRDefault="00EC63B6" w:rsidP="0062323D">
      <w:pPr>
        <w:spacing w:after="0" w:line="240" w:lineRule="auto"/>
      </w:pPr>
    </w:p>
    <w:tbl>
      <w:tblPr>
        <w:tblW w:w="1040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33"/>
      </w:tblGrid>
      <w:tr w:rsidR="00690BCC" w:rsidRPr="00E1388F" w14:paraId="0DEB4180" w14:textId="77777777" w:rsidTr="00D92C86">
        <w:trPr>
          <w:trHeight w:val="300"/>
          <w:tblCellSpacing w:w="20" w:type="dxa"/>
        </w:trPr>
        <w:tc>
          <w:tcPr>
            <w:tcW w:w="10323" w:type="dxa"/>
            <w:shd w:val="clear" w:color="000000" w:fill="8B1D31"/>
            <w:noWrap/>
            <w:hideMark/>
          </w:tcPr>
          <w:p w14:paraId="3EBA58BE" w14:textId="77777777"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7. Difusión de la Evaluación</w:t>
            </w:r>
          </w:p>
        </w:tc>
      </w:tr>
      <w:tr w:rsidR="00690BCC" w:rsidRPr="00E1388F" w14:paraId="4D58C90F" w14:textId="77777777" w:rsidTr="00D92C86">
        <w:trPr>
          <w:trHeight w:val="390"/>
          <w:tblCellSpacing w:w="20" w:type="dxa"/>
        </w:trPr>
        <w:tc>
          <w:tcPr>
            <w:tcW w:w="10323" w:type="dxa"/>
            <w:shd w:val="clear" w:color="auto" w:fill="auto"/>
            <w:noWrap/>
            <w:hideMark/>
          </w:tcPr>
          <w:p w14:paraId="153C8220" w14:textId="420468EC" w:rsidR="00E1388F" w:rsidRPr="003D5DDB" w:rsidRDefault="00E1388F" w:rsidP="00754718">
            <w:pPr>
              <w:spacing w:after="0" w:line="240" w:lineRule="auto"/>
              <w:rPr>
                <w:rFonts w:eastAsia="Times New Roman"/>
                <w:color w:val="000000"/>
                <w:highlight w:val="yellow"/>
                <w:lang w:eastAsia="es-MX"/>
              </w:rPr>
            </w:pPr>
            <w:r w:rsidRPr="0076751A">
              <w:rPr>
                <w:rFonts w:eastAsia="Times New Roman"/>
                <w:b/>
                <w:color w:val="000000"/>
                <w:lang w:eastAsia="es-MX"/>
              </w:rPr>
              <w:t>7.1 Difusión en Internet de la Evaluación:</w:t>
            </w:r>
            <w:r w:rsidR="00601986" w:rsidRPr="00754718">
              <w:rPr>
                <w:rFonts w:eastAsia="Times New Roman"/>
                <w:color w:val="000000"/>
                <w:lang w:eastAsia="es-MX"/>
              </w:rPr>
              <w:t xml:space="preserve"> </w:t>
            </w:r>
            <w:hyperlink r:id="rId11" w:history="1">
              <w:r w:rsidR="0000618F" w:rsidRPr="00440F98">
                <w:rPr>
                  <w:rStyle w:val="Hipervnculo"/>
                  <w:rFonts w:cstheme="minorHAnsi"/>
                </w:rPr>
                <w:t>www.saludsinaloa.gob.mx</w:t>
              </w:r>
            </w:hyperlink>
            <w:r w:rsidR="00166F9E" w:rsidRPr="00166F9E">
              <w:rPr>
                <w:rStyle w:val="Hipervnculo"/>
                <w:rFonts w:cstheme="minorHAnsi"/>
                <w:color w:val="auto"/>
                <w:u w:val="none"/>
              </w:rPr>
              <w:t>,</w:t>
            </w:r>
            <w:r w:rsidR="00166F9E">
              <w:rPr>
                <w:rFonts w:eastAsia="Times New Roman"/>
                <w:color w:val="000000"/>
                <w:lang w:eastAsia="es-MX"/>
              </w:rPr>
              <w:t xml:space="preserve"> </w:t>
            </w:r>
            <w:r w:rsidR="00166F9E" w:rsidRPr="00F82232">
              <w:rPr>
                <w:rStyle w:val="Hipervnculo"/>
                <w:rFonts w:eastAsia="Times New Roman"/>
                <w:lang w:eastAsia="es-MX"/>
              </w:rPr>
              <w:t>saf.transparenciasinaloa.gob.mx/sed/</w:t>
            </w:r>
            <w:r w:rsidR="00166F9E">
              <w:rPr>
                <w:rStyle w:val="Hipervnculo"/>
                <w:rFonts w:eastAsia="Times New Roman"/>
                <w:lang w:eastAsia="es-MX"/>
              </w:rPr>
              <w:t xml:space="preserve"> </w:t>
            </w:r>
            <w:r w:rsidR="00166F9E" w:rsidRPr="00214221">
              <w:rPr>
                <w:rStyle w:val="Hipervnculo"/>
                <w:color w:val="auto"/>
                <w:u w:val="none"/>
              </w:rPr>
              <w:t>y</w:t>
            </w:r>
            <w:r w:rsidR="00166F9E">
              <w:rPr>
                <w:rStyle w:val="Hipervnculo"/>
              </w:rPr>
              <w:t xml:space="preserve"> evalua.sinaloa.gob.mx/</w:t>
            </w:r>
          </w:p>
        </w:tc>
      </w:tr>
      <w:tr w:rsidR="00690BCC" w:rsidRPr="00E1388F" w14:paraId="6E222EFF" w14:textId="77777777" w:rsidTr="00D92C86">
        <w:trPr>
          <w:trHeight w:val="390"/>
          <w:tblCellSpacing w:w="20" w:type="dxa"/>
        </w:trPr>
        <w:tc>
          <w:tcPr>
            <w:tcW w:w="10323" w:type="dxa"/>
            <w:shd w:val="clear" w:color="000000" w:fill="FFFFFF"/>
            <w:noWrap/>
            <w:hideMark/>
          </w:tcPr>
          <w:p w14:paraId="62263092" w14:textId="0C234495" w:rsidR="00E1388F" w:rsidRPr="003D5DDB" w:rsidRDefault="00E1388F" w:rsidP="00E1388F">
            <w:pPr>
              <w:spacing w:after="0" w:line="240" w:lineRule="auto"/>
              <w:rPr>
                <w:rFonts w:eastAsia="Times New Roman"/>
                <w:color w:val="000000"/>
                <w:highlight w:val="yellow"/>
                <w:lang w:eastAsia="es-MX"/>
              </w:rPr>
            </w:pPr>
            <w:r w:rsidRPr="0076751A">
              <w:rPr>
                <w:rFonts w:eastAsia="Times New Roman"/>
                <w:b/>
                <w:color w:val="000000"/>
                <w:lang w:eastAsia="es-MX"/>
              </w:rPr>
              <w:t>7.2 Difusión en Internet del Formato</w:t>
            </w:r>
            <w:r w:rsidR="00E474E8" w:rsidRPr="0076751A">
              <w:rPr>
                <w:rFonts w:eastAsia="Times New Roman"/>
                <w:b/>
                <w:color w:val="000000"/>
                <w:lang w:eastAsia="es-MX"/>
              </w:rPr>
              <w:t>:</w:t>
            </w:r>
            <w:r w:rsidR="00E474E8" w:rsidRPr="00754718">
              <w:rPr>
                <w:rFonts w:eastAsia="Times New Roman"/>
                <w:color w:val="000000"/>
                <w:lang w:eastAsia="es-MX"/>
              </w:rPr>
              <w:t xml:space="preserve"> </w:t>
            </w:r>
            <w:hyperlink r:id="rId12" w:history="1">
              <w:r w:rsidR="00166F9E" w:rsidRPr="00440F98">
                <w:rPr>
                  <w:rStyle w:val="Hipervnculo"/>
                  <w:rFonts w:cstheme="minorHAnsi"/>
                </w:rPr>
                <w:t>www.saludsinaloa.gob.mx</w:t>
              </w:r>
            </w:hyperlink>
            <w:r w:rsidR="00166F9E" w:rsidRPr="00166F9E">
              <w:rPr>
                <w:rStyle w:val="Hipervnculo"/>
                <w:rFonts w:cstheme="minorHAnsi"/>
                <w:color w:val="auto"/>
                <w:u w:val="none"/>
              </w:rPr>
              <w:t>,</w:t>
            </w:r>
            <w:r w:rsidR="00166F9E">
              <w:rPr>
                <w:rFonts w:eastAsia="Times New Roman"/>
                <w:color w:val="000000"/>
                <w:lang w:eastAsia="es-MX"/>
              </w:rPr>
              <w:t xml:space="preserve"> </w:t>
            </w:r>
            <w:r w:rsidR="00166F9E" w:rsidRPr="00F82232">
              <w:rPr>
                <w:rStyle w:val="Hipervnculo"/>
                <w:rFonts w:eastAsia="Times New Roman"/>
                <w:lang w:eastAsia="es-MX"/>
              </w:rPr>
              <w:t>saf.transparenciasinaloa.gob.mx/sed/</w:t>
            </w:r>
            <w:r w:rsidR="00166F9E">
              <w:rPr>
                <w:rStyle w:val="Hipervnculo"/>
                <w:rFonts w:eastAsia="Times New Roman"/>
                <w:lang w:eastAsia="es-MX"/>
              </w:rPr>
              <w:t xml:space="preserve"> </w:t>
            </w:r>
            <w:r w:rsidR="00166F9E" w:rsidRPr="00214221">
              <w:rPr>
                <w:rStyle w:val="Hipervnculo"/>
                <w:color w:val="auto"/>
                <w:u w:val="none"/>
              </w:rPr>
              <w:t>y</w:t>
            </w:r>
            <w:r w:rsidR="00166F9E">
              <w:rPr>
                <w:rStyle w:val="Hipervnculo"/>
              </w:rPr>
              <w:t xml:space="preserve"> evalua.sinaloa.gob.mx/</w:t>
            </w:r>
          </w:p>
        </w:tc>
      </w:tr>
    </w:tbl>
    <w:p w14:paraId="3071E44C" w14:textId="77777777" w:rsidR="0086126F" w:rsidRDefault="0086126F" w:rsidP="00783C2F"/>
    <w:sectPr w:rsidR="0086126F" w:rsidSect="00E1388F">
      <w:headerReference w:type="default" r:id="rId13"/>
      <w:headerReference w:type="first" r:id="rId14"/>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0B14F" w14:textId="77777777" w:rsidR="00F66A32" w:rsidRDefault="00F66A32" w:rsidP="008E5209">
      <w:pPr>
        <w:spacing w:after="0" w:line="240" w:lineRule="auto"/>
      </w:pPr>
      <w:r>
        <w:separator/>
      </w:r>
    </w:p>
  </w:endnote>
  <w:endnote w:type="continuationSeparator" w:id="0">
    <w:p w14:paraId="52057758" w14:textId="77777777" w:rsidR="00F66A32" w:rsidRDefault="00F66A3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tserrat Light">
    <w:altName w:val="Calibri"/>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84E9A" w14:textId="77777777" w:rsidR="00F66A32" w:rsidRDefault="00F66A32" w:rsidP="008E5209">
      <w:pPr>
        <w:spacing w:after="0" w:line="240" w:lineRule="auto"/>
      </w:pPr>
      <w:r>
        <w:separator/>
      </w:r>
    </w:p>
  </w:footnote>
  <w:footnote w:type="continuationSeparator" w:id="0">
    <w:p w14:paraId="218FCC68" w14:textId="77777777" w:rsidR="00F66A32" w:rsidRDefault="00F66A32"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77942" w14:textId="77777777" w:rsidR="00DD1B80" w:rsidRDefault="00DD1B80" w:rsidP="00DD1B80">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2B226D3" wp14:editId="1788564E">
              <wp:simplePos x="0" y="0"/>
              <wp:positionH relativeFrom="column">
                <wp:posOffset>15875</wp:posOffset>
              </wp:positionH>
              <wp:positionV relativeFrom="paragraph">
                <wp:posOffset>-63500</wp:posOffset>
              </wp:positionV>
              <wp:extent cx="1095375" cy="657225"/>
              <wp:effectExtent l="0" t="0" r="0" b="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7D5740AE" w14:textId="77777777" w:rsidR="00DD1B80" w:rsidRDefault="00DD1B80" w:rsidP="00DD1B80"/>
                        <w:p w14:paraId="17595896" w14:textId="77777777" w:rsidR="00DD1B80" w:rsidRPr="00AA3309" w:rsidRDefault="00DD1B80" w:rsidP="00DD1B80">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2B226D3"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vDgIAAPsDAAAOAAAAZHJzL2Uyb0RvYy54bWysU11v2yAUfZ+0/4B4X+x4SZtYcaouXadJ&#10;3YfU7QcQwDEacBmQ2Nmv7wWnadS9TfMDAt/Lufece1jdDEaTg/RBgW3odFJSIi0HoeyuoT9/3L9b&#10;UBIis4JpsLKhRxnozfrtm1XvallBB1pITxDEhrp3De1idHVRBN5Jw8IEnLQYbMEbFvHod4XwrEd0&#10;o4uqLK+KHrxwHrgMAf/ejUG6zvhtK3n81rZBRqIbir3FvPq8btNarFes3nnmOsVPbbB/6MIwZbHo&#10;GeqORUb2Xv0FZRT3EKCNEw6mgLZVXGYOyGZavmLz2DEnMxcUJ7izTOH/wfKvh++eKNHQaoGjsszg&#10;kDZ7JjwQIUmUQwRSJZl6F2rMfnSYH4cPMOC4M+XgHoD/CsTCpmN2J2+9h76TTGCb03SzuLg64oQE&#10;su2/gMBqbB8hAw2tN0lDVIUgOo7reB4R9kF4Klku5++v55RwjF3Nr6tqnkuw+vm28yF+kmBI2jTU&#10;owUyOjs8hJi6YfVzSipm4V5pnW2gLekbupwj5KuIURFdqpVp6KJM3+ibRPKjFflyZEqPeyyg7Yl1&#10;IjpSjsN2wMQkxRbEEfl7GN2Irwc3Hfg/lPToxIaG33vmJSX6s0UNl9PZLFk3H2ZIGQ/+MrK9jDDL&#10;EaqhkZJxu4nZ7iOjW9S6VVmGl05OvaLDsjqn15AsfHnOWS9vdv0EAAD//wMAUEsDBBQABgAIAAAA&#10;IQCG9piD3AAAAAgBAAAPAAAAZHJzL2Rvd25yZXYueG1sTI/NTsMwEITvSLyDtUjcWruFAA3ZVAjE&#10;FdTyI3Fz420SEa+j2G3C27M9wW1HM5r9plhPvlNHGmIbGGExN6CIq+BarhHe355nd6BisuxsF5gQ&#10;fijCujw/K2zuwsgbOm5TraSEY24RmpT6XOtYNeRtnIeeWLx9GLxNIodau8GOUu47vTTmRnvbsnxo&#10;bE+PDVXf24NH+HjZf31em9f6yWf9GCaj2a804uXF9HAPKtGU/sJwwhd0KIVpFw7souoQlpkEEWYL&#10;I5NO/m0mxw5hdZWBLgv9f0D5CwAA//8DAFBLAQItABQABgAIAAAAIQC2gziS/gAAAOEBAAATAAAA&#10;AAAAAAAAAAAAAAAAAABbQ29udGVudF9UeXBlc10ueG1sUEsBAi0AFAAGAAgAAAAhADj9If/WAAAA&#10;lAEAAAsAAAAAAAAAAAAAAAAALwEAAF9yZWxzLy5yZWxzUEsBAi0AFAAGAAgAAAAhAAsD6+8OAgAA&#10;+wMAAA4AAAAAAAAAAAAAAAAALgIAAGRycy9lMm9Eb2MueG1sUEsBAi0AFAAGAAgAAAAhAIb2mIPc&#10;AAAACAEAAA8AAAAAAAAAAAAAAAAAaAQAAGRycy9kb3ducmV2LnhtbFBLBQYAAAAABAAEAPMAAABx&#10;BQAAAAA=&#10;" filled="f" stroked="f">
              <v:textbox>
                <w:txbxContent>
                  <w:p w14:paraId="7D5740AE" w14:textId="77777777" w:rsidR="00DD1B80" w:rsidRDefault="00DD1B80" w:rsidP="00DD1B80"/>
                  <w:p w14:paraId="17595896" w14:textId="77777777" w:rsidR="00DD1B80" w:rsidRPr="00AA3309" w:rsidRDefault="00DD1B80" w:rsidP="00DD1B80">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6463A628" wp14:editId="5DEA32BB">
          <wp:simplePos x="0" y="0"/>
          <wp:positionH relativeFrom="column">
            <wp:posOffset>-675640</wp:posOffset>
          </wp:positionH>
          <wp:positionV relativeFrom="paragraph">
            <wp:posOffset>-133350</wp:posOffset>
          </wp:positionV>
          <wp:extent cx="862330" cy="1410970"/>
          <wp:effectExtent l="0" t="0" r="0" b="0"/>
          <wp:wrapNone/>
          <wp:docPr id="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ED3ADCB" w14:textId="77777777" w:rsidR="00DD1B80" w:rsidRDefault="00DD1B80" w:rsidP="00DD1B80">
    <w:pPr>
      <w:pStyle w:val="Encabezado"/>
      <w:ind w:right="141"/>
      <w:jc w:val="right"/>
      <w:rPr>
        <w:rFonts w:ascii="Montserrat Light" w:hAnsi="Montserrat Light" w:cs="Arial"/>
        <w:b/>
        <w:color w:val="861D31"/>
        <w:szCs w:val="20"/>
      </w:rPr>
    </w:pPr>
  </w:p>
  <w:p w14:paraId="654D043F" w14:textId="77777777" w:rsidR="00DD1B80" w:rsidRDefault="00DD1B80" w:rsidP="00DD1B80">
    <w:pPr>
      <w:pStyle w:val="Encabezado"/>
    </w:pPr>
  </w:p>
  <w:p w14:paraId="56A8C458" w14:textId="77777777"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14:paraId="23814D8B" w14:textId="77777777" w:rsidR="00B9593B" w:rsidRDefault="00B9593B" w:rsidP="00B9593B">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de</w:t>
    </w:r>
    <w:proofErr w:type="gramEnd"/>
    <w:r>
      <w:rPr>
        <w:rFonts w:ascii="Montserrat Light" w:hAnsi="Montserrat Light" w:cs="Arial"/>
        <w:b/>
        <w:color w:val="861D31"/>
        <w:sz w:val="28"/>
      </w:rPr>
      <w:t xml:space="preserve"> la Evaluación del Fondo de Aportaciones</w:t>
    </w:r>
  </w:p>
  <w:p w14:paraId="3288A4B7" w14:textId="77777777" w:rsidR="00B9593B" w:rsidRPr="0086126F" w:rsidRDefault="00B9593B" w:rsidP="00B9593B">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para</w:t>
    </w:r>
    <w:proofErr w:type="gramEnd"/>
    <w:r>
      <w:rPr>
        <w:rFonts w:ascii="Montserrat Light" w:hAnsi="Montserrat Light" w:cs="Arial"/>
        <w:b/>
        <w:color w:val="861D31"/>
        <w:sz w:val="28"/>
      </w:rPr>
      <w:t xml:space="preserve"> los Servicios de Salud (FASSA)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F339"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CA926D7" wp14:editId="0044106D">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249CD78F" w14:textId="77777777" w:rsidR="0086126F" w:rsidRDefault="0086126F" w:rsidP="00C759BF"/>
                        <w:p w14:paraId="30064AAA"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CA926D7"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249CD78F" w14:textId="77777777" w:rsidR="0086126F" w:rsidRDefault="0086126F" w:rsidP="00C759BF"/>
                  <w:p w14:paraId="30064AAA"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4E36E510" wp14:editId="2AFE6AE3">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1606B930" w14:textId="77777777" w:rsidR="0086126F" w:rsidRDefault="0086126F" w:rsidP="00DA1D55">
    <w:pPr>
      <w:pStyle w:val="Encabezado"/>
      <w:ind w:right="141"/>
      <w:jc w:val="right"/>
      <w:rPr>
        <w:rFonts w:ascii="Montserrat Light" w:hAnsi="Montserrat Light" w:cs="Arial"/>
        <w:b/>
        <w:color w:val="861D31"/>
        <w:szCs w:val="20"/>
      </w:rPr>
    </w:pPr>
  </w:p>
  <w:p w14:paraId="1AFB13FF" w14:textId="77777777" w:rsidR="0086126F" w:rsidRDefault="0086126F">
    <w:pPr>
      <w:pStyle w:val="Encabezado"/>
    </w:pPr>
  </w:p>
  <w:p w14:paraId="2D3AE1E6" w14:textId="77777777" w:rsidR="0086126F" w:rsidRDefault="0086126F">
    <w:pPr>
      <w:pStyle w:val="Encabezado"/>
    </w:pPr>
  </w:p>
  <w:p w14:paraId="46F8FA3D" w14:textId="77777777"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14:paraId="58A4CD27" w14:textId="77777777" w:rsidR="00B9593B" w:rsidRDefault="00B9593B" w:rsidP="00B9593B">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de</w:t>
    </w:r>
    <w:proofErr w:type="gramEnd"/>
    <w:r>
      <w:rPr>
        <w:rFonts w:ascii="Montserrat Light" w:hAnsi="Montserrat Light" w:cs="Arial"/>
        <w:b/>
        <w:color w:val="861D31"/>
        <w:sz w:val="28"/>
      </w:rPr>
      <w:t xml:space="preserve"> la Evaluación del Fondo de Aportaciones</w:t>
    </w:r>
  </w:p>
  <w:p w14:paraId="455F2696" w14:textId="77777777" w:rsidR="00B9593B" w:rsidRPr="0086126F" w:rsidRDefault="00B9593B" w:rsidP="00B9593B">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para</w:t>
    </w:r>
    <w:proofErr w:type="gramEnd"/>
    <w:r>
      <w:rPr>
        <w:rFonts w:ascii="Montserrat Light" w:hAnsi="Montserrat Light" w:cs="Arial"/>
        <w:b/>
        <w:color w:val="861D31"/>
        <w:sz w:val="28"/>
      </w:rPr>
      <w:t xml:space="preserve"> los Servicios de Salud (FASSA)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1D7A0EDD"/>
    <w:multiLevelType w:val="hybridMultilevel"/>
    <w:tmpl w:val="CFAEB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4AD3677"/>
    <w:multiLevelType w:val="hybridMultilevel"/>
    <w:tmpl w:val="05B65898"/>
    <w:lvl w:ilvl="0" w:tplc="461ADF9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142B89"/>
    <w:multiLevelType w:val="hybridMultilevel"/>
    <w:tmpl w:val="BFDAB2FA"/>
    <w:lvl w:ilvl="0" w:tplc="0894823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CC2E8D"/>
    <w:multiLevelType w:val="hybridMultilevel"/>
    <w:tmpl w:val="FA9A69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5C7A7FF6"/>
    <w:multiLevelType w:val="hybridMultilevel"/>
    <w:tmpl w:val="A17A6740"/>
    <w:lvl w:ilvl="0" w:tplc="2CF86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A237C8"/>
    <w:multiLevelType w:val="multilevel"/>
    <w:tmpl w:val="7A2C6578"/>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3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6B1B2743"/>
    <w:multiLevelType w:val="hybridMultilevel"/>
    <w:tmpl w:val="EC2A84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7337483F"/>
    <w:multiLevelType w:val="hybridMultilevel"/>
    <w:tmpl w:val="AD122F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77C10674"/>
    <w:multiLevelType w:val="hybridMultilevel"/>
    <w:tmpl w:val="8C30B1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7"/>
  </w:num>
  <w:num w:numId="2">
    <w:abstractNumId w:val="14"/>
  </w:num>
  <w:num w:numId="3">
    <w:abstractNumId w:val="12"/>
  </w:num>
  <w:num w:numId="4">
    <w:abstractNumId w:val="6"/>
  </w:num>
  <w:num w:numId="5">
    <w:abstractNumId w:val="15"/>
  </w:num>
  <w:num w:numId="6">
    <w:abstractNumId w:val="4"/>
  </w:num>
  <w:num w:numId="7">
    <w:abstractNumId w:val="35"/>
  </w:num>
  <w:num w:numId="8">
    <w:abstractNumId w:val="26"/>
  </w:num>
  <w:num w:numId="9">
    <w:abstractNumId w:val="20"/>
  </w:num>
  <w:num w:numId="10">
    <w:abstractNumId w:val="16"/>
  </w:num>
  <w:num w:numId="11">
    <w:abstractNumId w:val="7"/>
  </w:num>
  <w:num w:numId="12">
    <w:abstractNumId w:val="10"/>
  </w:num>
  <w:num w:numId="13">
    <w:abstractNumId w:val="18"/>
  </w:num>
  <w:num w:numId="14">
    <w:abstractNumId w:val="28"/>
  </w:num>
  <w:num w:numId="15">
    <w:abstractNumId w:val="5"/>
  </w:num>
  <w:num w:numId="16">
    <w:abstractNumId w:val="1"/>
  </w:num>
  <w:num w:numId="17">
    <w:abstractNumId w:val="34"/>
  </w:num>
  <w:num w:numId="18">
    <w:abstractNumId w:val="30"/>
  </w:num>
  <w:num w:numId="19">
    <w:abstractNumId w:val="2"/>
  </w:num>
  <w:num w:numId="20">
    <w:abstractNumId w:val="19"/>
  </w:num>
  <w:num w:numId="21">
    <w:abstractNumId w:val="8"/>
  </w:num>
  <w:num w:numId="22">
    <w:abstractNumId w:val="13"/>
  </w:num>
  <w:num w:numId="23">
    <w:abstractNumId w:val="0"/>
  </w:num>
  <w:num w:numId="24">
    <w:abstractNumId w:val="21"/>
  </w:num>
  <w:num w:numId="25">
    <w:abstractNumId w:val="27"/>
  </w:num>
  <w:num w:numId="26">
    <w:abstractNumId w:val="3"/>
  </w:num>
  <w:num w:numId="27">
    <w:abstractNumId w:val="9"/>
  </w:num>
  <w:num w:numId="28">
    <w:abstractNumId w:val="29"/>
  </w:num>
  <w:num w:numId="29">
    <w:abstractNumId w:val="33"/>
  </w:num>
  <w:num w:numId="30">
    <w:abstractNumId w:val="32"/>
  </w:num>
  <w:num w:numId="31">
    <w:abstractNumId w:val="24"/>
  </w:num>
  <w:num w:numId="32">
    <w:abstractNumId w:val="31"/>
  </w:num>
  <w:num w:numId="33">
    <w:abstractNumId w:val="11"/>
  </w:num>
  <w:num w:numId="34">
    <w:abstractNumId w:val="25"/>
  </w:num>
  <w:num w:numId="35">
    <w:abstractNumId w:val="2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0618F"/>
    <w:rsid w:val="0001033D"/>
    <w:rsid w:val="000118B1"/>
    <w:rsid w:val="00017F38"/>
    <w:rsid w:val="000228F8"/>
    <w:rsid w:val="00023EAD"/>
    <w:rsid w:val="00024AE9"/>
    <w:rsid w:val="0003464C"/>
    <w:rsid w:val="00037498"/>
    <w:rsid w:val="00040183"/>
    <w:rsid w:val="00057C89"/>
    <w:rsid w:val="00063EAD"/>
    <w:rsid w:val="00067330"/>
    <w:rsid w:val="00072141"/>
    <w:rsid w:val="00076C94"/>
    <w:rsid w:val="00080258"/>
    <w:rsid w:val="00083A07"/>
    <w:rsid w:val="00084948"/>
    <w:rsid w:val="000950AD"/>
    <w:rsid w:val="000A1D0D"/>
    <w:rsid w:val="000A4397"/>
    <w:rsid w:val="000A795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357DC"/>
    <w:rsid w:val="00145904"/>
    <w:rsid w:val="00152D47"/>
    <w:rsid w:val="00166F9E"/>
    <w:rsid w:val="00167840"/>
    <w:rsid w:val="001763CC"/>
    <w:rsid w:val="001800BD"/>
    <w:rsid w:val="00184CB5"/>
    <w:rsid w:val="00187361"/>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4062"/>
    <w:rsid w:val="00230930"/>
    <w:rsid w:val="002312DF"/>
    <w:rsid w:val="00233D0F"/>
    <w:rsid w:val="002356D5"/>
    <w:rsid w:val="0023762C"/>
    <w:rsid w:val="002422A9"/>
    <w:rsid w:val="00256B08"/>
    <w:rsid w:val="00263C83"/>
    <w:rsid w:val="00264327"/>
    <w:rsid w:val="0026692D"/>
    <w:rsid w:val="002801B9"/>
    <w:rsid w:val="00281DFC"/>
    <w:rsid w:val="002903FB"/>
    <w:rsid w:val="002A29EE"/>
    <w:rsid w:val="002A318E"/>
    <w:rsid w:val="002B2C96"/>
    <w:rsid w:val="002D1AFC"/>
    <w:rsid w:val="002D3EA7"/>
    <w:rsid w:val="002D457E"/>
    <w:rsid w:val="002E1A84"/>
    <w:rsid w:val="002E4405"/>
    <w:rsid w:val="002E6DAC"/>
    <w:rsid w:val="002F378E"/>
    <w:rsid w:val="002F68C0"/>
    <w:rsid w:val="00316A9C"/>
    <w:rsid w:val="00316C41"/>
    <w:rsid w:val="003208C0"/>
    <w:rsid w:val="00323621"/>
    <w:rsid w:val="00325565"/>
    <w:rsid w:val="003270DD"/>
    <w:rsid w:val="00331966"/>
    <w:rsid w:val="00332B71"/>
    <w:rsid w:val="00332B81"/>
    <w:rsid w:val="00342BB1"/>
    <w:rsid w:val="00345DBF"/>
    <w:rsid w:val="00351B94"/>
    <w:rsid w:val="003671EF"/>
    <w:rsid w:val="00375FD1"/>
    <w:rsid w:val="003800F3"/>
    <w:rsid w:val="003867E1"/>
    <w:rsid w:val="003964B5"/>
    <w:rsid w:val="003B6721"/>
    <w:rsid w:val="003C3463"/>
    <w:rsid w:val="003C5B02"/>
    <w:rsid w:val="003D5DDB"/>
    <w:rsid w:val="003E326B"/>
    <w:rsid w:val="003E4BAA"/>
    <w:rsid w:val="003E6E57"/>
    <w:rsid w:val="003F0AF3"/>
    <w:rsid w:val="003F315D"/>
    <w:rsid w:val="00402EFD"/>
    <w:rsid w:val="0040650C"/>
    <w:rsid w:val="00413C04"/>
    <w:rsid w:val="0041452B"/>
    <w:rsid w:val="00416CC1"/>
    <w:rsid w:val="00425911"/>
    <w:rsid w:val="00431E65"/>
    <w:rsid w:val="004327A3"/>
    <w:rsid w:val="0044695A"/>
    <w:rsid w:val="004620A0"/>
    <w:rsid w:val="0047656A"/>
    <w:rsid w:val="00480476"/>
    <w:rsid w:val="00486961"/>
    <w:rsid w:val="0049271E"/>
    <w:rsid w:val="00495144"/>
    <w:rsid w:val="004A055F"/>
    <w:rsid w:val="004A30A1"/>
    <w:rsid w:val="004C10D1"/>
    <w:rsid w:val="004C1175"/>
    <w:rsid w:val="004C1F58"/>
    <w:rsid w:val="004C36DB"/>
    <w:rsid w:val="004D131A"/>
    <w:rsid w:val="004D31EC"/>
    <w:rsid w:val="004E5966"/>
    <w:rsid w:val="004F1261"/>
    <w:rsid w:val="005002F5"/>
    <w:rsid w:val="0050641D"/>
    <w:rsid w:val="00510CF9"/>
    <w:rsid w:val="00531BE3"/>
    <w:rsid w:val="00531C3D"/>
    <w:rsid w:val="005369D7"/>
    <w:rsid w:val="00555F51"/>
    <w:rsid w:val="00564E3C"/>
    <w:rsid w:val="00575727"/>
    <w:rsid w:val="005773F7"/>
    <w:rsid w:val="005826E6"/>
    <w:rsid w:val="00582D11"/>
    <w:rsid w:val="005845F6"/>
    <w:rsid w:val="0058734A"/>
    <w:rsid w:val="00594325"/>
    <w:rsid w:val="0059649C"/>
    <w:rsid w:val="005A2AEF"/>
    <w:rsid w:val="005B4A7B"/>
    <w:rsid w:val="005B6573"/>
    <w:rsid w:val="005B6E40"/>
    <w:rsid w:val="005C47E6"/>
    <w:rsid w:val="005E44FA"/>
    <w:rsid w:val="005E525A"/>
    <w:rsid w:val="005F33CC"/>
    <w:rsid w:val="005F575E"/>
    <w:rsid w:val="00601986"/>
    <w:rsid w:val="00602B50"/>
    <w:rsid w:val="00603771"/>
    <w:rsid w:val="006123C0"/>
    <w:rsid w:val="0062323D"/>
    <w:rsid w:val="0062578D"/>
    <w:rsid w:val="00627DDE"/>
    <w:rsid w:val="00630891"/>
    <w:rsid w:val="0065144E"/>
    <w:rsid w:val="0065719B"/>
    <w:rsid w:val="00666BE5"/>
    <w:rsid w:val="00671A91"/>
    <w:rsid w:val="0068293A"/>
    <w:rsid w:val="00690BCC"/>
    <w:rsid w:val="0069467B"/>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E86"/>
    <w:rsid w:val="007513D2"/>
    <w:rsid w:val="007541F8"/>
    <w:rsid w:val="00754718"/>
    <w:rsid w:val="00754766"/>
    <w:rsid w:val="007610AB"/>
    <w:rsid w:val="0076751A"/>
    <w:rsid w:val="00782C22"/>
    <w:rsid w:val="00783C2F"/>
    <w:rsid w:val="00784BFB"/>
    <w:rsid w:val="007862E9"/>
    <w:rsid w:val="007967D9"/>
    <w:rsid w:val="007A0C17"/>
    <w:rsid w:val="007A0D4E"/>
    <w:rsid w:val="007A2DBF"/>
    <w:rsid w:val="007A73AA"/>
    <w:rsid w:val="007A782D"/>
    <w:rsid w:val="007B4768"/>
    <w:rsid w:val="007C695A"/>
    <w:rsid w:val="007C73EB"/>
    <w:rsid w:val="007D19D3"/>
    <w:rsid w:val="007D4353"/>
    <w:rsid w:val="007D7081"/>
    <w:rsid w:val="007E4A2A"/>
    <w:rsid w:val="007E5374"/>
    <w:rsid w:val="00801AE3"/>
    <w:rsid w:val="00803598"/>
    <w:rsid w:val="0081108A"/>
    <w:rsid w:val="0082178B"/>
    <w:rsid w:val="00822FE3"/>
    <w:rsid w:val="00827FA5"/>
    <w:rsid w:val="00831AD7"/>
    <w:rsid w:val="0083482F"/>
    <w:rsid w:val="008405A6"/>
    <w:rsid w:val="00843C4B"/>
    <w:rsid w:val="00855D89"/>
    <w:rsid w:val="00857815"/>
    <w:rsid w:val="0085799F"/>
    <w:rsid w:val="00860E2B"/>
    <w:rsid w:val="0086126F"/>
    <w:rsid w:val="008726E2"/>
    <w:rsid w:val="00874C99"/>
    <w:rsid w:val="00877541"/>
    <w:rsid w:val="0088276D"/>
    <w:rsid w:val="00882D04"/>
    <w:rsid w:val="00882D61"/>
    <w:rsid w:val="008905B0"/>
    <w:rsid w:val="00890761"/>
    <w:rsid w:val="008A0BCB"/>
    <w:rsid w:val="008A0CB2"/>
    <w:rsid w:val="008A3EC5"/>
    <w:rsid w:val="008B3B8B"/>
    <w:rsid w:val="008D08A8"/>
    <w:rsid w:val="008D2433"/>
    <w:rsid w:val="008E5209"/>
    <w:rsid w:val="008F0494"/>
    <w:rsid w:val="008F1D6E"/>
    <w:rsid w:val="009160E1"/>
    <w:rsid w:val="0092465C"/>
    <w:rsid w:val="009263AC"/>
    <w:rsid w:val="00934890"/>
    <w:rsid w:val="009352D5"/>
    <w:rsid w:val="00950021"/>
    <w:rsid w:val="0096110F"/>
    <w:rsid w:val="009768FB"/>
    <w:rsid w:val="00983315"/>
    <w:rsid w:val="009A182A"/>
    <w:rsid w:val="009A326D"/>
    <w:rsid w:val="009A3BA4"/>
    <w:rsid w:val="009B3B2B"/>
    <w:rsid w:val="009B5E2C"/>
    <w:rsid w:val="009B795A"/>
    <w:rsid w:val="009C2A50"/>
    <w:rsid w:val="009C6FE2"/>
    <w:rsid w:val="009D58D9"/>
    <w:rsid w:val="009D7FB9"/>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5303"/>
    <w:rsid w:val="00A7110A"/>
    <w:rsid w:val="00A728B1"/>
    <w:rsid w:val="00A74CCC"/>
    <w:rsid w:val="00A82DED"/>
    <w:rsid w:val="00A84C9A"/>
    <w:rsid w:val="00AA2447"/>
    <w:rsid w:val="00AA3309"/>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71DBF"/>
    <w:rsid w:val="00B9593B"/>
    <w:rsid w:val="00BA1B67"/>
    <w:rsid w:val="00BA222E"/>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2F24"/>
    <w:rsid w:val="00C04B92"/>
    <w:rsid w:val="00C103A7"/>
    <w:rsid w:val="00C17070"/>
    <w:rsid w:val="00C2107C"/>
    <w:rsid w:val="00C30726"/>
    <w:rsid w:val="00C40D20"/>
    <w:rsid w:val="00C47657"/>
    <w:rsid w:val="00C54827"/>
    <w:rsid w:val="00C66011"/>
    <w:rsid w:val="00C759BF"/>
    <w:rsid w:val="00C75A07"/>
    <w:rsid w:val="00C828B4"/>
    <w:rsid w:val="00C87ADB"/>
    <w:rsid w:val="00C9043F"/>
    <w:rsid w:val="00C913B4"/>
    <w:rsid w:val="00C94C02"/>
    <w:rsid w:val="00C96DA9"/>
    <w:rsid w:val="00C97287"/>
    <w:rsid w:val="00CA02AC"/>
    <w:rsid w:val="00CA10FD"/>
    <w:rsid w:val="00CB572A"/>
    <w:rsid w:val="00CC06EA"/>
    <w:rsid w:val="00CC489F"/>
    <w:rsid w:val="00CD34D2"/>
    <w:rsid w:val="00CF511B"/>
    <w:rsid w:val="00CF57AE"/>
    <w:rsid w:val="00D10D79"/>
    <w:rsid w:val="00D1436F"/>
    <w:rsid w:val="00D15AF3"/>
    <w:rsid w:val="00D16047"/>
    <w:rsid w:val="00D2217D"/>
    <w:rsid w:val="00D31A79"/>
    <w:rsid w:val="00D33ED2"/>
    <w:rsid w:val="00D36A8B"/>
    <w:rsid w:val="00D50015"/>
    <w:rsid w:val="00D54A9B"/>
    <w:rsid w:val="00D557F6"/>
    <w:rsid w:val="00D617BA"/>
    <w:rsid w:val="00D63AE8"/>
    <w:rsid w:val="00D77276"/>
    <w:rsid w:val="00D8309E"/>
    <w:rsid w:val="00D92C86"/>
    <w:rsid w:val="00D92DBC"/>
    <w:rsid w:val="00DA1D55"/>
    <w:rsid w:val="00DA6A9B"/>
    <w:rsid w:val="00DA6B5F"/>
    <w:rsid w:val="00DA6D7B"/>
    <w:rsid w:val="00DA7D5D"/>
    <w:rsid w:val="00DB29CD"/>
    <w:rsid w:val="00DB7D6F"/>
    <w:rsid w:val="00DD1B80"/>
    <w:rsid w:val="00DD2500"/>
    <w:rsid w:val="00DE333B"/>
    <w:rsid w:val="00DE3EC0"/>
    <w:rsid w:val="00E0038A"/>
    <w:rsid w:val="00E01194"/>
    <w:rsid w:val="00E02A2F"/>
    <w:rsid w:val="00E055EA"/>
    <w:rsid w:val="00E107F2"/>
    <w:rsid w:val="00E1147B"/>
    <w:rsid w:val="00E1388F"/>
    <w:rsid w:val="00E236DA"/>
    <w:rsid w:val="00E41932"/>
    <w:rsid w:val="00E474E8"/>
    <w:rsid w:val="00E4783D"/>
    <w:rsid w:val="00E529A2"/>
    <w:rsid w:val="00E55352"/>
    <w:rsid w:val="00E66462"/>
    <w:rsid w:val="00E85EDC"/>
    <w:rsid w:val="00E91A09"/>
    <w:rsid w:val="00E95051"/>
    <w:rsid w:val="00EA4287"/>
    <w:rsid w:val="00EB1802"/>
    <w:rsid w:val="00EB345E"/>
    <w:rsid w:val="00EC21F6"/>
    <w:rsid w:val="00EC303D"/>
    <w:rsid w:val="00EC3814"/>
    <w:rsid w:val="00EC5A67"/>
    <w:rsid w:val="00EC63B6"/>
    <w:rsid w:val="00ED2843"/>
    <w:rsid w:val="00EE32E3"/>
    <w:rsid w:val="00F01806"/>
    <w:rsid w:val="00F0320D"/>
    <w:rsid w:val="00F16821"/>
    <w:rsid w:val="00F24D1A"/>
    <w:rsid w:val="00F2576D"/>
    <w:rsid w:val="00F26D0B"/>
    <w:rsid w:val="00F33E30"/>
    <w:rsid w:val="00F36ECC"/>
    <w:rsid w:val="00F51A08"/>
    <w:rsid w:val="00F52C3E"/>
    <w:rsid w:val="00F66A32"/>
    <w:rsid w:val="00F75E9D"/>
    <w:rsid w:val="00F8367D"/>
    <w:rsid w:val="00F963E2"/>
    <w:rsid w:val="00F97DAE"/>
    <w:rsid w:val="00FA1BB9"/>
    <w:rsid w:val="00FA7D41"/>
    <w:rsid w:val="00FB0820"/>
    <w:rsid w:val="00FB1BFB"/>
    <w:rsid w:val="00FB1F72"/>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E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udsinaloa.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udsinalo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la.gamez@saludsinaloa.gob.mx" TargetMode="External"/><Relationship Id="rId4" Type="http://schemas.microsoft.com/office/2007/relationships/stylesWithEffects" Target="stylesWithEffects.xml"/><Relationship Id="rId9" Type="http://schemas.openxmlformats.org/officeDocument/2006/relationships/hyperlink" Target="mailto:ames@mgichavezame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FAC7-F4BC-4516-99E3-182839DB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9</Pages>
  <Words>2881</Words>
  <Characters>15849</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15</cp:revision>
  <cp:lastPrinted>2021-10-18T16:28:00Z</cp:lastPrinted>
  <dcterms:created xsi:type="dcterms:W3CDTF">2021-08-31T18:50:00Z</dcterms:created>
  <dcterms:modified xsi:type="dcterms:W3CDTF">2021-10-18T16:28:00Z</dcterms:modified>
</cp:coreProperties>
</file>